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345" w:tblpY="1908"/>
        <w:tblW w:w="9495" w:type="dxa"/>
        <w:tblInd w:w="0" w:type="dxa"/>
        <w:tblLayout w:type="fixed"/>
        <w:tblCellMar>
          <w:top w:w="0" w:type="dxa"/>
          <w:left w:w="108" w:type="dxa"/>
          <w:bottom w:w="0" w:type="dxa"/>
          <w:right w:w="108" w:type="dxa"/>
        </w:tblCellMar>
      </w:tblPr>
      <w:tblGrid>
        <w:gridCol w:w="9495"/>
      </w:tblGrid>
      <w:tr>
        <w:tblPrEx>
          <w:tblCellMar>
            <w:top w:w="0" w:type="dxa"/>
            <w:left w:w="108" w:type="dxa"/>
            <w:bottom w:w="0" w:type="dxa"/>
            <w:right w:w="108" w:type="dxa"/>
          </w:tblCellMar>
        </w:tblPrEx>
        <w:trPr>
          <w:trHeight w:val="1545" w:hRule="atLeast"/>
        </w:trPr>
        <w:tc>
          <w:tcPr>
            <w:tcW w:w="9495" w:type="dxa"/>
            <w:vAlign w:val="center"/>
          </w:tcPr>
          <w:p>
            <w:pPr>
              <w:keepNext w:val="0"/>
              <w:keepLines w:val="0"/>
              <w:pageBreakBefore w:val="0"/>
              <w:widowControl w:val="0"/>
              <w:kinsoku/>
              <w:wordWrap/>
              <w:overflowPunct/>
              <w:topLinePunct w:val="0"/>
              <w:autoSpaceDE/>
              <w:autoSpaceDN/>
              <w:bidi w:val="0"/>
              <w:adjustRightInd/>
              <w:snapToGrid/>
              <w:spacing w:before="400" w:after="400" w:line="1000" w:lineRule="exact"/>
              <w:jc w:val="distribute"/>
              <w:textAlignment w:val="auto"/>
              <w:rPr>
                <w:rFonts w:hint="eastAsia" w:ascii="方正小标宋_GBK" w:eastAsia="方正小标宋_GBK" w:cs="Times New Roman"/>
                <w:b w:val="0"/>
                <w:bCs w:val="0"/>
                <w:color w:val="FF0000"/>
                <w:spacing w:val="-57"/>
                <w:w w:val="33"/>
                <w:kern w:val="2"/>
                <w:sz w:val="144"/>
                <w:szCs w:val="144"/>
                <w:lang w:eastAsia="zh-CN"/>
              </w:rPr>
            </w:pPr>
            <w:r>
              <w:rPr>
                <w:rFonts w:hint="eastAsia" w:ascii="方正小标宋_GBK" w:eastAsia="方正小标宋_GBK" w:cs="方正小标宋_GBK"/>
                <w:b w:val="0"/>
                <w:bCs w:val="0"/>
                <w:color w:val="FF0000"/>
                <w:spacing w:val="-57"/>
                <w:w w:val="33"/>
                <w:kern w:val="2"/>
                <w:sz w:val="144"/>
                <w:szCs w:val="144"/>
                <w:lang w:eastAsia="zh-CN"/>
              </w:rPr>
              <w:t>淮安市淮阴区社会信用体系建设工作领导小组办公室</w:t>
            </w:r>
          </w:p>
        </w:tc>
      </w:tr>
    </w:tbl>
    <w:tbl>
      <w:tblPr>
        <w:tblStyle w:val="3"/>
        <w:tblpPr w:horzAnchor="margin" w:tblpXSpec="center" w:tblpYSpec="top"/>
        <w:tblOverlap w:val="never"/>
        <w:tblW w:w="8844" w:type="dxa"/>
        <w:tblInd w:w="0" w:type="dxa"/>
        <w:tblLayout w:type="fixed"/>
        <w:tblCellMar>
          <w:top w:w="0" w:type="dxa"/>
          <w:left w:w="108" w:type="dxa"/>
          <w:bottom w:w="0" w:type="dxa"/>
          <w:right w:w="108" w:type="dxa"/>
        </w:tblCellMar>
      </w:tblPr>
      <w:tblGrid>
        <w:gridCol w:w="8844"/>
      </w:tblGrid>
      <w:tr>
        <w:tblPrEx>
          <w:tblCellMar>
            <w:top w:w="0" w:type="dxa"/>
            <w:left w:w="108" w:type="dxa"/>
            <w:bottom w:w="0" w:type="dxa"/>
            <w:right w:w="108" w:type="dxa"/>
          </w:tblCellMar>
        </w:tblPrEx>
        <w:trPr>
          <w:trHeight w:val="90" w:hRule="atLeast"/>
        </w:trPr>
        <w:tc>
          <w:tcPr>
            <w:tcW w:w="8844" w:type="dxa"/>
            <w:noWrap w:val="0"/>
            <w:tcMar>
              <w:left w:w="0" w:type="dxa"/>
              <w:right w:w="0" w:type="dxa"/>
            </w:tcMar>
            <w:vAlign w:val="top"/>
          </w:tcPr>
          <w:p>
            <w:pPr>
              <w:pStyle w:val="7"/>
              <w:spacing w:line="600" w:lineRule="exact"/>
              <w:jc w:val="center"/>
              <w:rPr>
                <w:color w:val="000000"/>
                <w:sz w:val="32"/>
              </w:rPr>
            </w:pPr>
            <w:r>
              <w:rPr>
                <w:rFonts w:hint="eastAsia" w:ascii="方正仿宋_GBK" w:hAnsi="方正仿宋_GBK" w:eastAsia="方正仿宋_GBK" w:cs="方正仿宋_GBK"/>
                <w:sz w:val="32"/>
                <w:szCs w:val="32"/>
                <w:lang w:eastAsia="zh-CN"/>
              </w:rPr>
              <w:t>淮信用办</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号</w:t>
            </w:r>
          </w:p>
        </w:tc>
      </w:tr>
    </w:tbl>
    <w:p>
      <w:pPr>
        <w:autoSpaceDE w:val="0"/>
        <w:autoSpaceDN w:val="0"/>
        <w:adjustRightInd w:val="0"/>
        <w:jc w:val="center"/>
        <w:rPr>
          <w:rFonts w:hint="eastAsia" w:ascii="方正仿宋_GBK" w:hAnsi="方正仿宋_GBK" w:eastAsia="方正仿宋_GBK" w:cs="方正仿宋_GBK"/>
          <w:kern w:val="0"/>
          <w:sz w:val="32"/>
          <w:szCs w:val="32"/>
          <w:lang w:val="zh-CN"/>
        </w:rPr>
      </w:pPr>
      <w:r>
        <mc:AlternateContent>
          <mc:Choice Requires="wps">
            <w:drawing>
              <wp:anchor distT="0" distB="0" distL="114300" distR="114300" simplePos="0" relativeHeight="251656192" behindDoc="0" locked="0" layoutInCell="1" allowOverlap="1">
                <wp:simplePos x="0" y="0"/>
                <wp:positionH relativeFrom="column">
                  <wp:posOffset>-253365</wp:posOffset>
                </wp:positionH>
                <wp:positionV relativeFrom="paragraph">
                  <wp:posOffset>1607185</wp:posOffset>
                </wp:positionV>
                <wp:extent cx="6010275" cy="0"/>
                <wp:effectExtent l="0" t="19050" r="9525" b="19050"/>
                <wp:wrapNone/>
                <wp:docPr id="1" name="直线 2"/>
                <wp:cNvGraphicFramePr/>
                <a:graphic xmlns:a="http://schemas.openxmlformats.org/drawingml/2006/main">
                  <a:graphicData uri="http://schemas.microsoft.com/office/word/2010/wordprocessingShape">
                    <wps:wsp>
                      <wps:cNvCnPr/>
                      <wps:spPr>
                        <a:xfrm>
                          <a:off x="0" y="0"/>
                          <a:ext cx="601027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9.95pt;margin-top:126.55pt;height:0pt;width:473.25pt;z-index:251656192;mso-width-relative:page;mso-height-relative:page;" filled="f" stroked="t" coordsize="21600,21600" o:gfxdata="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Z29bbAAAACwEAAA8AAAAAAAAAAQAgAAAAIgAAAGRycy9kb3ducmV2LnhtbFBLAQIUABQAAAAI&#10;AIdO4kCBG48c6gEAANwDAAAOAAAAAAAAAAEAIAAAACoBAABkcnMvZTJvRG9jLnhtbFBLBQYAAAAA&#10;BgAGAFkBAACGBQ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关于印发《2020年度淮阴区营商环境-政务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kern w:val="0"/>
          <w:szCs w:val="32"/>
          <w:lang w:val="zh-CN"/>
        </w:rPr>
      </w:pPr>
      <w:r>
        <w:rPr>
          <w:rFonts w:hint="eastAsia" w:ascii="方正小标宋_GBK" w:hAnsi="方正小标宋_GBK" w:eastAsia="方正小标宋_GBK" w:cs="方正小标宋_GBK"/>
          <w:sz w:val="44"/>
          <w:szCs w:val="44"/>
          <w:lang w:eastAsia="zh-CN"/>
        </w:rPr>
        <w:t>诚信建设工作要点》的通知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lang w:eastAsia="zh-CN"/>
        </w:rPr>
        <w:t>各园区管委会，各镇（街道）政府（办事处），区直各部门</w:t>
      </w:r>
      <w:r>
        <w:rPr>
          <w:rFonts w:hint="eastAsia" w:ascii="方正仿宋_GBK" w:hAnsi="仿宋" w:eastAsia="方正仿宋_GBK"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eastAsia="zh-CN"/>
        </w:rPr>
        <w:t>现将《2020年度淮阴区营商环境-政务诚信建设工作要点》印发给你们，请认真遵照执行。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仿宋" w:eastAsia="方正仿宋_GBK"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76" w:firstLineChars="200"/>
        <w:textAlignment w:val="auto"/>
        <w:rPr>
          <w:rFonts w:hint="eastAsia" w:ascii="方正仿宋_GBK" w:hAnsi="仿宋" w:eastAsia="方正仿宋_GBK" w:cs="仿宋"/>
          <w:w w:val="90"/>
          <w:sz w:val="32"/>
          <w:szCs w:val="32"/>
          <w:lang w:val="en-US" w:eastAsia="zh-CN"/>
        </w:rPr>
      </w:pPr>
      <w:r>
        <w:rPr>
          <w:rFonts w:hint="eastAsia" w:ascii="方正仿宋_GBK" w:hAnsi="仿宋" w:eastAsia="方正仿宋_GBK" w:cs="仿宋"/>
          <w:w w:val="90"/>
          <w:sz w:val="32"/>
          <w:szCs w:val="32"/>
          <w:lang w:val="en-US" w:eastAsia="zh-CN"/>
        </w:rPr>
        <w:t>附件1：《2020年度淮阴区营商环境-</w:t>
      </w:r>
      <w:bookmarkStart w:id="0" w:name="_GoBack"/>
      <w:bookmarkEnd w:id="0"/>
      <w:r>
        <w:rPr>
          <w:rFonts w:hint="eastAsia" w:ascii="方正仿宋_GBK" w:hAnsi="仿宋" w:eastAsia="方正仿宋_GBK" w:cs="仿宋"/>
          <w:w w:val="90"/>
          <w:sz w:val="32"/>
          <w:szCs w:val="32"/>
          <w:lang w:val="en-US" w:eastAsia="zh-CN"/>
        </w:rPr>
        <w:t>政务诚信建设工作要点》</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200"/>
        <w:textAlignment w:val="auto"/>
        <w:rPr>
          <w:rFonts w:hint="eastAsia" w:ascii="方正仿宋_GBK" w:hAnsi="仿宋" w:eastAsia="方正仿宋_GBK" w:cs="仿宋"/>
          <w:sz w:val="32"/>
          <w:szCs w:val="32"/>
          <w:lang w:val="en-US" w:eastAsia="zh-CN"/>
        </w:rPr>
      </w:pPr>
      <w:r>
        <w:rPr>
          <w:rFonts w:hint="eastAsia" w:ascii="方正仿宋_GBK" w:hAnsi="仿宋" w:eastAsia="方正仿宋_GBK" w:cs="仿宋"/>
          <w:w w:val="90"/>
          <w:sz w:val="32"/>
          <w:szCs w:val="32"/>
          <w:lang w:val="en-US" w:eastAsia="zh-CN"/>
        </w:rPr>
        <w:t>附件2：重点任务分工表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方正仿宋_GBK" w:hAnsi="仿宋" w:eastAsia="方正仿宋_GBK" w:cs="仿宋"/>
          <w:sz w:val="32"/>
          <w:szCs w:val="32"/>
          <w:lang w:val="en-US" w:eastAsia="zh-CN"/>
        </w:rPr>
      </w:pPr>
      <w:r>
        <w:rPr>
          <w:rFonts w:hint="default" w:ascii="方正仿宋_GBK" w:hAnsi="仿宋" w:eastAsia="方正仿宋_GBK" w:cs="仿宋"/>
          <w:sz w:val="32"/>
          <w:szCs w:val="32"/>
          <w:lang w:val="en-US" w:eastAsia="zh-CN"/>
        </w:rPr>
        <w:t>淮安市淮阴区社会信用体系建设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 xml:space="preserve">                      </w:t>
      </w:r>
      <w:r>
        <w:rPr>
          <w:rFonts w:hint="default" w:ascii="方正仿宋_GBK" w:hAnsi="仿宋" w:eastAsia="方正仿宋_GBK" w:cs="仿宋"/>
          <w:sz w:val="32"/>
          <w:szCs w:val="32"/>
          <w:lang w:val="en-US" w:eastAsia="zh-CN"/>
        </w:rPr>
        <w:t xml:space="preserve">工作领导小组办公室 </w:t>
      </w:r>
      <w:r>
        <w:rPr>
          <w:rFonts w:hint="eastAsia" w:ascii="方正仿宋_GBK" w:hAnsi="仿宋" w:eastAsia="方正仿宋_GBK" w:cs="仿宋"/>
          <w:sz w:val="32"/>
          <w:szCs w:val="32"/>
          <w:lang w:val="en-US" w:eastAsia="zh-CN"/>
        </w:rPr>
        <w:t xml:space="preserve"> </w:t>
      </w:r>
      <w:r>
        <w:rPr>
          <w:rFonts w:hint="default" w:ascii="方正仿宋_GBK" w:hAnsi="仿宋" w:eastAsia="方正仿宋_GBK"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 xml:space="preserve">                      </w:t>
      </w:r>
      <w:r>
        <w:rPr>
          <w:rFonts w:hint="default" w:ascii="方正仿宋_GBK" w:hAnsi="仿宋" w:eastAsia="方正仿宋_GBK" w:cs="仿宋"/>
          <w:sz w:val="32"/>
          <w:szCs w:val="32"/>
          <w:lang w:val="en-US" w:eastAsia="zh-CN"/>
        </w:rPr>
        <w:t>2020年</w:t>
      </w:r>
      <w:r>
        <w:rPr>
          <w:rFonts w:hint="eastAsia" w:ascii="方正仿宋_GBK" w:hAnsi="仿宋" w:eastAsia="方正仿宋_GBK" w:cs="仿宋"/>
          <w:sz w:val="32"/>
          <w:szCs w:val="32"/>
          <w:lang w:val="en-US" w:eastAsia="zh-CN"/>
        </w:rPr>
        <w:t>10</w:t>
      </w:r>
      <w:r>
        <w:rPr>
          <w:rFonts w:hint="default" w:ascii="方正仿宋_GBK" w:hAnsi="仿宋" w:eastAsia="方正仿宋_GBK" w:cs="仿宋"/>
          <w:sz w:val="32"/>
          <w:szCs w:val="32"/>
          <w:lang w:val="en-US" w:eastAsia="zh-CN"/>
        </w:rPr>
        <w:t>月</w:t>
      </w:r>
      <w:r>
        <w:rPr>
          <w:rFonts w:hint="eastAsia" w:ascii="方正仿宋_GBK" w:hAnsi="仿宋" w:eastAsia="方正仿宋_GBK" w:cs="仿宋"/>
          <w:sz w:val="32"/>
          <w:szCs w:val="32"/>
          <w:lang w:val="en-US" w:eastAsia="zh-CN"/>
        </w:rPr>
        <w:t>16</w:t>
      </w:r>
      <w:r>
        <w:rPr>
          <w:rFonts w:hint="default" w:ascii="方正仿宋_GBK" w:hAnsi="仿宋" w:eastAsia="方正仿宋_GBK" w:cs="仿宋"/>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_GBK" w:hAnsi="仿宋" w:eastAsia="方正仿宋_GBK"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（此件公开发布）</w:t>
      </w:r>
      <w:r>
        <w:rPr>
          <w:rFonts w:hint="default" w:ascii="方正仿宋_GBK" w:hAnsi="仿宋" w:eastAsia="方正仿宋_GBK"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《2020年度淮阴区营商环境-政务诚信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建设工作要点》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为贯彻落实《国务院关于加强政务诚信建设的指导意见》（国发〔2016〕76号）精神，加强我区政务诚信建设，进一步提升政府公信力，提高诚信淮阴建设水平，现提出如下实施意见。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（一）指导思想。</w:t>
      </w:r>
      <w:r>
        <w:rPr>
          <w:rFonts w:hint="eastAsia" w:ascii="方正仿宋_GBK" w:hAnsi="仿宋" w:eastAsia="方正仿宋_GBK" w:cs="仿宋"/>
          <w:sz w:val="32"/>
          <w:szCs w:val="32"/>
          <w:lang w:val="en-US" w:eastAsia="zh-CN"/>
        </w:rPr>
        <w:t>全面贯彻落实党的十九大精神，坚持以习近平新时代中国特色社会主义思想为指导，按照市委、市政府、区委、区政府关于推进诚信建设制度化的决策部署，将政务诚信作为社会信用体系建设的关键和引领，将坚持依法行政、阳光行政和加强监督作为推进政务诚信建设的重要手段，将建立政务领域失信记录和实施失信惩戒措施作为推进政务诚信建设的主要方面，将危害群众利益、损害市场公平交易等政务失信行为作为治理重点，循序渐进，不断提升公务员诚信履职意识和各级政府诚信行政水平，不断推进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依法行政。切实履行法定职责必须为、法无授权不可为的要求。健全依法决策机制，将依法行政贯穿于决策、执行、监督、服务的全过程，将公众参与、专家论证、风险评估、合法性审查、集体讨论决定等作为重大决策的法定程序。要按照权力清单和责任清单制度要求，切实做到依法决策、依法执行和依法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政务公开。推进阳光行政，坚持“以公开为常态，不公开为例外”原则，在保护国家信息安全、国家秘密、商业秘密和个人隐私的前提下，通过政府网站、政务服务“一张网”、政务发布新媒体等途径依法公开政务信息，进一步推进“互联网+政务”，加快推进决策、执行、管理、服务和结果全过程公开，提高政务透明度，让权力在阳光下运行，切实保障人民群众的知情权、参与权和监督权。制定规章和规范性文件要广泛征求社会意见。严格依法依规开展政府采购、招标投标、招商引资等工作，充分体现公开、公平、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勤政高效。深入推进“放管服”改革，进一步优化行政流程，继续清理、削减和调整行政审批事项，推行网上服务、并联服务和服务质量公开承诺等措施。加强事中事后监管，着力构建以信用为核心的新型监管体系，不断提高行政效率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守信践诺。将公平正义作为政务诚信的基本准则，在行政管理和公共服务的各领域贯彻公平正义原则。公务员要清正廉洁，恪尽职守，敢于担当。建立健全守信践诺机制，准确记录并客观评价职权范围内行政事项以及行政服务质量承诺、期限承诺和保障承诺的履行情况。各镇政府在债务融资、政府采购、招标投标等市场交易领域应诚实守信，严格履行各项约定义务，为全社会作出表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（三）主要目标。</w:t>
      </w:r>
      <w:r>
        <w:rPr>
          <w:rFonts w:hint="eastAsia" w:ascii="方正仿宋_GBK" w:hAnsi="仿宋" w:eastAsia="方正仿宋_GBK" w:cs="仿宋"/>
          <w:sz w:val="32"/>
          <w:szCs w:val="32"/>
          <w:lang w:val="en-US" w:eastAsia="zh-CN"/>
        </w:rPr>
        <w:t>逐步健全全区政务信用管理体系和政务诚信监督体系，实现行政许可、行政处罚等信用信息“双公示”100%以及政府部门和公务员信用信息记录、归集、共享全覆盖，重点领域政务诚信建设取得积极进展，政务诚信环境显著改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二、建立健全政务信用管理体系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（一）依法行政。</w:t>
      </w:r>
      <w:r>
        <w:rPr>
          <w:rFonts w:hint="eastAsia" w:ascii="方正仿宋_GBK" w:hAnsi="仿宋" w:eastAsia="方正仿宋_GBK" w:cs="仿宋"/>
          <w:sz w:val="32"/>
          <w:szCs w:val="32"/>
          <w:lang w:val="en-US" w:eastAsia="zh-CN"/>
        </w:rPr>
        <w:t>按时编制并公布2019年度本级政府法治政府建设报告；建立政府法律顾问、公众参与、专家论证、风险评估、合法性审查等制度，并有效落实；建立日常监督、专项检查、公众举报制度；改善行政诉讼、行政复议判决书判定政府违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（二）政务公开。</w:t>
      </w:r>
      <w:r>
        <w:rPr>
          <w:rFonts w:hint="eastAsia" w:ascii="方正仿宋_GBK" w:hAnsi="仿宋" w:eastAsia="方正仿宋_GBK" w:cs="仿宋"/>
          <w:sz w:val="32"/>
          <w:szCs w:val="32"/>
          <w:lang w:val="en-US" w:eastAsia="zh-CN"/>
        </w:rPr>
        <w:t>在淮阴区政府官网设置政务公开专栏；在政务公开专栏能够查询到政府信息公开指南；在政务公开专栏能够查询到信息公开目录；在政务公开专栏能能够查询到政务公开制度；在政务公开专栏能够查询到政务公开年度报告；建立政务公开工作考核和评议制度；在信用门户网站设置“双公示”专栏；制定并公示“双公示”目录；及时在信用门户网站上更新“双公示”信息；及时向市公共信用信息平台报送“双公示”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（三）政务诚信监测与失信治理。</w:t>
      </w:r>
      <w:r>
        <w:rPr>
          <w:rFonts w:hint="eastAsia" w:ascii="方正仿宋_GBK" w:hAnsi="仿宋" w:eastAsia="方正仿宋_GBK" w:cs="仿宋"/>
          <w:sz w:val="32"/>
          <w:szCs w:val="32"/>
          <w:lang w:val="en-US" w:eastAsia="zh-CN"/>
        </w:rPr>
        <w:t>进行政府机构失信案件专项治理，国家下达、省高院统计的政府机构失信案件清零；改善政府部门和国有企业清欠情况。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（四）加强公务员诚信教育。</w:t>
      </w:r>
      <w:r>
        <w:rPr>
          <w:rFonts w:hint="eastAsia" w:ascii="方正仿宋_GBK" w:hAnsi="仿宋" w:eastAsia="方正仿宋_GBK" w:cs="仿宋"/>
          <w:sz w:val="32"/>
          <w:szCs w:val="32"/>
          <w:lang w:val="en-US" w:eastAsia="zh-CN"/>
        </w:rPr>
        <w:t>以社会主义核心价值观为引领，深入开展公务员诚信、守法和道德教育，编制公务员诚信手册，或发放省级制作的《公务员诚信知识读本》，弘扬诚信文化，普及诚信知识，将信用建设纳入公务员培训和领导干部进修课程，在党员干部理论培训、干部网上学习、新进公务员培训、党校轮训等中增加信用知识内容，围绕公务员诚信和职业道德，举办公务员大讲堂，切实加强公务员信用知识学习；在公务员录取、干部任用前进行信用报告审查；组织开展公务员集体签名承诺、岗位诚信标兵推选及模范先进事迹巡回宣讲等诚信主题教育实践活动，提升公务员信用意识，切实增强公务员诚信行政的自觉性和主动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（五）政务诚信宣传。</w:t>
      </w:r>
      <w:r>
        <w:rPr>
          <w:rFonts w:hint="eastAsia" w:ascii="方正仿宋_GBK" w:hAnsi="仿宋" w:eastAsia="方正仿宋_GBK" w:cs="仿宋"/>
          <w:sz w:val="32"/>
          <w:szCs w:val="32"/>
          <w:lang w:val="en-US" w:eastAsia="zh-CN"/>
        </w:rPr>
        <w:t>开展政务诚信主题相关宣传工作，形成以政务诚信为引领，社会诚信、商务诚信、司法公信全面推进的良好氛围。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（六）健全信用权益保护和信用修复机制。</w:t>
      </w:r>
      <w:r>
        <w:rPr>
          <w:rFonts w:hint="eastAsia" w:ascii="方正仿宋_GBK" w:hAnsi="仿宋" w:eastAsia="方正仿宋_GBK" w:cs="仿宋"/>
          <w:sz w:val="32"/>
          <w:szCs w:val="32"/>
          <w:lang w:val="en-US" w:eastAsia="zh-CN"/>
        </w:rPr>
        <w:t>完善政务信用信息保护机制，按照法律法规规定采集各类失信记录；建立健全信用信息异议申诉制度，探索扩展信用修复渠道和方式；建立容错纠错的关爱机制，鼓励自我纠错、主动自新；严格规范认定容错的程序，完善风险防范和纠错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（七）政务失信负面舆情。</w:t>
      </w:r>
      <w:r>
        <w:rPr>
          <w:rFonts w:hint="eastAsia" w:ascii="方正仿宋_GBK" w:hAnsi="仿宋" w:eastAsia="方正仿宋_GBK" w:cs="仿宋"/>
          <w:sz w:val="32"/>
          <w:szCs w:val="32"/>
          <w:lang w:val="en-US" w:eastAsia="zh-CN"/>
        </w:rPr>
        <w:t>省发展改革委委托第三方机构，通过大数据分析和监测预警，对各地区、各行业政务诚信状况进行常态化监测，对此应严格控制因政府部门或公务员失信造成的负面舆情数量，争取时刻保持实“零增量”。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黑体" w:hAnsi="黑体" w:eastAsia="黑体" w:cs="黑体"/>
          <w:sz w:val="32"/>
          <w:szCs w:val="32"/>
          <w:lang w:val="en-US" w:eastAsia="zh-CN"/>
        </w:rPr>
        <w:t>三、加强重点领域政务诚信建设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（一）加强政府采购领域政务诚信建设。</w:t>
      </w:r>
      <w:r>
        <w:rPr>
          <w:rFonts w:hint="eastAsia" w:ascii="方正仿宋_GBK" w:hAnsi="仿宋" w:eastAsia="方正仿宋_GBK" w:cs="仿宋"/>
          <w:sz w:val="32"/>
          <w:szCs w:val="32"/>
          <w:lang w:val="en-US" w:eastAsia="zh-CN"/>
        </w:rPr>
        <w:t>完善政府采购诚信体系，建立政府采购方面的政务诚信责任制，加强对采购人在项目履约验收、合同履行、款项支付情况的监督，依法处理采购人及有关责任人在政府采购活动中的违法违规失信行为；完善政府采购管理交易系统，提高政府采购活动透明度；建立采购人违法违规记录及责任回溯机制；建立采购评审专家信用管理制度；建立采购人信用承诺制度，采购人在开展政府采购活动前，应按照诚实信用原则，对政务公开、财政资金使用规范性、遵守政府采购法律法规、合同履行以及违约责任等方面作出书面承诺并向社会公开，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（二）加强政府和社会资本合作领域政务诚信建设。</w:t>
      </w:r>
      <w:r>
        <w:rPr>
          <w:rFonts w:hint="eastAsia" w:ascii="方正仿宋_GBK" w:hAnsi="仿宋" w:eastAsia="方正仿宋_GBK" w:cs="仿宋"/>
          <w:sz w:val="32"/>
          <w:szCs w:val="32"/>
          <w:lang w:val="en-US" w:eastAsia="zh-CN"/>
        </w:rPr>
        <w:t>出台政府和社会资本合作领域政务诚信建设相关制度文件；强化政府的契约意识、诚信意识和责任意识，建立政府和社会资本合作失信违约记录；明确政府和社会资本合作项目政府方责任人及其在项目识别、项目准备、项目采购、项目执行、项目移交等阶段的诚信职责，建立项目责任回溯机制，并将有关政府失信行为及时纳入各级公共信用信息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（三）加强招标投标领域政务诚信建设。</w:t>
      </w:r>
      <w:r>
        <w:rPr>
          <w:rFonts w:hint="eastAsia" w:ascii="方正仿宋_GBK" w:hAnsi="仿宋" w:eastAsia="方正仿宋_GBK" w:cs="仿宋"/>
          <w:sz w:val="32"/>
          <w:szCs w:val="32"/>
          <w:lang w:val="en-US" w:eastAsia="zh-CN"/>
        </w:rPr>
        <w:t>加快运用“互联网+招标投标”方式，建立完善全省统一的招标投标信用信息系统及服务平台，把失信被执行人纳入该平台，实现自动比对、自动拦截、自动监督、自动惩戒，实现与省、市招标投标公共服务平台和公共资源交易中心实现技术上互联互通，信息上资源共享共用；制定完善信用承诺和信用审查制度，建立招标投标信用评价指标和评价标准体系。加强失信责任追究，依法依规处理和惩戒招投标行政监督部门及其工作人员的失信行为；探索推广和应用第三方信用报告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（四）加强招商引资领域政务诚信建设。</w:t>
      </w:r>
      <w:r>
        <w:rPr>
          <w:rFonts w:hint="eastAsia" w:ascii="方正仿宋_GBK" w:hAnsi="仿宋" w:eastAsia="方正仿宋_GBK" w:cs="仿宋"/>
          <w:sz w:val="32"/>
          <w:szCs w:val="32"/>
          <w:lang w:val="en-US" w:eastAsia="zh-CN"/>
        </w:rPr>
        <w:t>完善招商引资地方性法规规章，严格依法依规出台优惠政策，避免恶性竞争；规范地方政府招商引资行为，明确政府在招商引资过程中的权力限制及职责，认真履行依法作出的政策承诺和签订的各类合同、协议，不得以政府换届、相关责任人更替等理由违约毁约；建立招商引资责任人信用承诺制，加强对政府承诺事项延续性的监督；建立依法补偿制度，因国家利益、公共利益或其他法定事由需要改变政府承诺和合同约定的，要严格依照法定权限和程序进行，并对相关企业和投资人的财产损失依法予以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（五）加强地方政府债务领域政务诚信建设。</w:t>
      </w:r>
      <w:r>
        <w:rPr>
          <w:rFonts w:hint="eastAsia" w:ascii="方正仿宋_GBK" w:hAnsi="仿宋" w:eastAsia="方正仿宋_GBK" w:cs="仿宋"/>
          <w:sz w:val="32"/>
          <w:szCs w:val="32"/>
          <w:lang w:val="en-US" w:eastAsia="zh-CN"/>
        </w:rPr>
        <w:t>建立政府性债务监督公开制度，在政府官网及时规范公开地方政府债务信息，内容准确、详实；健全地方政府性债务监管体系，建立地方政府性债务风险评估和预警机制，科学设置风险预警指标，综合评价债务风险水平；建立地方政府性债务应急处置以及考核问责机制，把地方政府性债务作为政绩考核的一项重要指标，并将债务审计列入党政主要领导干部经济责任审计，将债务管理列入财政工作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（六）加强统计领域政务诚信建设。</w:t>
      </w:r>
      <w:r>
        <w:rPr>
          <w:rFonts w:hint="eastAsia" w:ascii="方正仿宋_GBK" w:hAnsi="仿宋" w:eastAsia="方正仿宋_GBK" w:cs="仿宋"/>
          <w:sz w:val="32"/>
          <w:szCs w:val="32"/>
          <w:lang w:val="en-US" w:eastAsia="zh-CN"/>
        </w:rPr>
        <w:t>出台统计领域政务诚信建设相关制度文件。健全责任体系，落实防范和惩治统计造假、弄虚作假的领导责任、监督责任、主体责任和相关责任；建立统计机构和有关部门统计从业人员信用档案，引导统计从业人员依法统计、诚信统计，提高统计数据真实性；开展统计诚信承诺活动并签署信用承诺书，明确守法、守信、自律等方面的自我约束和应承担的责任；对统计领域政府部门和事业单位建立失信问责和联合惩戒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（七）加强街道和乡镇政务诚信建设。</w:t>
      </w:r>
      <w:r>
        <w:rPr>
          <w:rFonts w:hint="eastAsia" w:ascii="方正仿宋_GBK" w:hAnsi="仿宋" w:eastAsia="方正仿宋_GBK" w:cs="仿宋"/>
          <w:sz w:val="32"/>
          <w:szCs w:val="32"/>
          <w:lang w:val="en-US" w:eastAsia="zh-CN"/>
        </w:rPr>
        <w:t>将政务诚信建设纳入街道和乡镇综合考核体系；建立镇、街道公开承诺制度，加大镇、街道政务、财务等公开力度，确保就业、物业、就学、公共卫生、计生、养老、助残、扶贫、医保、住房、出行、停车、防火防盗、拥军优属、便民服务等公共服务和优惠政策有效落实到社会公众，并将各项工作守信践诺情况纳入街道和乡镇绩效考核体系；积极推广“政社互动”模式建设，通过进一步明晰镇（街道）政府与城乡村（居）委会的权责关系，推行镇、街道中心“一门式”服务；引导村（居）民委员会通过契约管理、村规民约等方式，就落实奖励扶助政策等作出双向承诺并诚信履约，全面提高诚信政府服务能力；把政务诚信建设的要求融入文明村镇创建内容，加大测评权重；以信用镇（街道）、信用村居、信用户以及示范街区等创建为载体，将信用体系建设向村居、社区推进；在农业开发、环境整治、集体经济扶持等方面对信用村予以支持；在就业、扶贫、养老、信贷等方面对信用户予以倾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四、健全保障措施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（一）加强组织领导和工作协调。</w:t>
      </w:r>
      <w:r>
        <w:rPr>
          <w:rFonts w:hint="eastAsia" w:ascii="方正仿宋_GBK" w:hAnsi="仿宋" w:eastAsia="方正仿宋_GBK" w:cs="仿宋"/>
          <w:sz w:val="32"/>
          <w:szCs w:val="32"/>
          <w:lang w:val="en-US" w:eastAsia="zh-CN"/>
        </w:rPr>
        <w:t>各镇（街道）、各部门要高度重视信用体系建设工作，明确业务科室和分管领导，切实加强对政务诚信建设工作的组织领导，按照职责分工，研究出台工作方案和实施办法，做好政务诚信建设工作。充分发挥社会信用体系建设领导小组的作用，协调解决政务诚信建设中的重大问题，研究确定并推进政务诚信建设的各项措施，加强协作配合。区信用办会同有关部门建立工作考核推进机制，对各街道（乡镇）、各有关部门政务诚信体系建设工作进行督促、检查和指导，确保各项工作平稳有序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（二）加快法规制度建设。</w:t>
      </w:r>
      <w:r>
        <w:rPr>
          <w:rFonts w:hint="eastAsia" w:ascii="方正仿宋_GBK" w:hAnsi="仿宋" w:eastAsia="方正仿宋_GBK" w:cs="仿宋"/>
          <w:sz w:val="32"/>
          <w:szCs w:val="32"/>
          <w:lang w:val="en-US" w:eastAsia="zh-CN"/>
        </w:rPr>
        <w:t>逐步建立和完善政务诚信建设法规制度。加强政务诚信建设的地方性法规研究。加快出台制度文件。加强政务公开、行政审批制度改革、政府守信践诺机制、公务员诚信、政务诚信评价等制度建设，为政务诚信体系建设提供良好的制度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楷体" w:hAnsi="楷体" w:eastAsia="楷体" w:cs="楷体"/>
          <w:sz w:val="32"/>
          <w:szCs w:val="32"/>
          <w:lang w:val="en-US" w:eastAsia="zh-CN"/>
        </w:rPr>
        <w:t>（三）推进先行先试和示范试点工作。</w:t>
      </w:r>
      <w:r>
        <w:rPr>
          <w:rFonts w:hint="eastAsia" w:ascii="方正仿宋_GBK" w:hAnsi="仿宋" w:eastAsia="方正仿宋_GBK" w:cs="仿宋"/>
          <w:sz w:val="32"/>
          <w:szCs w:val="32"/>
          <w:lang w:val="en-US" w:eastAsia="zh-CN"/>
        </w:rPr>
        <w:t>围绕行政管理决策、依法行政与行政执法、政务公开、守信践诺机制建设、信用产品应用、诚信教育等方面，积极开展先行先试和示范试点，探索政务诚信建设新路径、新模式，形成可推广、可复制的经验做法。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仿宋" w:eastAsia="方正仿宋_GBK"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仿宋" w:eastAsia="方正仿宋_GBK"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仿宋" w:eastAsia="方正仿宋_GBK"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仿宋" w:eastAsia="方正仿宋_GBK"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仿宋" w:eastAsia="方正仿宋_GBK"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仿宋" w:eastAsia="方正仿宋_GBK"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仿宋" w:eastAsia="方正仿宋_GBK"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仿宋" w:eastAsia="方正仿宋_GBK" w:cs="仿宋"/>
          <w:sz w:val="32"/>
          <w:szCs w:val="32"/>
          <w:lang w:val="en-US" w:eastAsia="zh-CN"/>
        </w:rPr>
        <w:sectPr>
          <w:pgSz w:w="11906" w:h="16838"/>
          <w:pgMar w:top="1984" w:right="1701" w:bottom="2154" w:left="1701"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重点任务分工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textAlignment w:val="auto"/>
        <w:rPr>
          <w:rFonts w:hint="eastAsia" w:ascii="方正小标宋_GBK" w:hAnsi="方正小标宋_GBK" w:eastAsia="方正小标宋_GBK" w:cs="方正小标宋_GBK"/>
          <w:sz w:val="44"/>
          <w:szCs w:val="44"/>
          <w:lang w:val="en-US" w:eastAsia="zh-CN"/>
        </w:rPr>
      </w:pPr>
    </w:p>
    <w:tbl>
      <w:tblPr>
        <w:tblStyle w:val="4"/>
        <w:tblW w:w="14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60"/>
        <w:gridCol w:w="765"/>
        <w:gridCol w:w="1725"/>
        <w:gridCol w:w="8070"/>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2" w:type="dxa"/>
            <w:vAlign w:val="center"/>
          </w:tcPr>
          <w:p>
            <w:pPr>
              <w:adjustRightInd w:val="0"/>
              <w:snapToGrid w:val="0"/>
              <w:jc w:val="center"/>
              <w:rPr>
                <w:rFonts w:ascii="宋体" w:hAnsi="宋体" w:eastAsia="宋体"/>
                <w:b/>
                <w:sz w:val="24"/>
                <w:szCs w:val="24"/>
              </w:rPr>
            </w:pPr>
            <w:r>
              <w:rPr>
                <w:rFonts w:hint="eastAsia" w:ascii="宋体" w:hAnsi="宋体" w:eastAsia="宋体"/>
                <w:b/>
                <w:sz w:val="24"/>
                <w:szCs w:val="24"/>
              </w:rPr>
              <w:t>序号</w:t>
            </w:r>
          </w:p>
        </w:tc>
        <w:tc>
          <w:tcPr>
            <w:tcW w:w="1260" w:type="dxa"/>
            <w:vAlign w:val="center"/>
          </w:tcPr>
          <w:p>
            <w:pPr>
              <w:adjustRightInd w:val="0"/>
              <w:snapToGrid w:val="0"/>
              <w:jc w:val="center"/>
              <w:rPr>
                <w:rFonts w:ascii="宋体" w:hAnsi="宋体" w:eastAsia="宋体"/>
                <w:b/>
                <w:sz w:val="24"/>
                <w:szCs w:val="24"/>
              </w:rPr>
            </w:pPr>
            <w:r>
              <w:rPr>
                <w:rFonts w:hint="eastAsia" w:ascii="宋体" w:hAnsi="宋体" w:eastAsia="宋体"/>
                <w:b/>
                <w:sz w:val="24"/>
                <w:szCs w:val="24"/>
              </w:rPr>
              <w:t>一级指标</w:t>
            </w:r>
          </w:p>
        </w:tc>
        <w:tc>
          <w:tcPr>
            <w:tcW w:w="765" w:type="dxa"/>
            <w:vAlign w:val="center"/>
          </w:tcPr>
          <w:p>
            <w:pPr>
              <w:adjustRightInd w:val="0"/>
              <w:snapToGrid w:val="0"/>
              <w:jc w:val="center"/>
              <w:rPr>
                <w:rFonts w:ascii="宋体" w:hAnsi="宋体" w:eastAsia="宋体"/>
                <w:b/>
                <w:sz w:val="24"/>
                <w:szCs w:val="24"/>
              </w:rPr>
            </w:pPr>
            <w:r>
              <w:rPr>
                <w:rFonts w:hint="eastAsia" w:ascii="宋体" w:hAnsi="宋体" w:eastAsia="宋体"/>
                <w:b/>
                <w:sz w:val="24"/>
                <w:szCs w:val="24"/>
              </w:rPr>
              <w:t>序号</w:t>
            </w:r>
          </w:p>
        </w:tc>
        <w:tc>
          <w:tcPr>
            <w:tcW w:w="1725" w:type="dxa"/>
            <w:vAlign w:val="center"/>
          </w:tcPr>
          <w:p>
            <w:pPr>
              <w:adjustRightInd w:val="0"/>
              <w:snapToGrid w:val="0"/>
              <w:jc w:val="center"/>
              <w:rPr>
                <w:rFonts w:ascii="宋体" w:hAnsi="宋体" w:eastAsia="宋体"/>
                <w:b/>
                <w:sz w:val="24"/>
                <w:szCs w:val="24"/>
              </w:rPr>
            </w:pPr>
            <w:r>
              <w:rPr>
                <w:rFonts w:hint="eastAsia" w:ascii="宋体" w:hAnsi="宋体" w:eastAsia="宋体"/>
                <w:b/>
                <w:sz w:val="24"/>
                <w:szCs w:val="24"/>
              </w:rPr>
              <w:t>二级指标</w:t>
            </w:r>
          </w:p>
        </w:tc>
        <w:tc>
          <w:tcPr>
            <w:tcW w:w="8070" w:type="dxa"/>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lang w:eastAsia="zh-CN"/>
              </w:rPr>
              <w:t>工作要点</w:t>
            </w:r>
          </w:p>
        </w:tc>
        <w:tc>
          <w:tcPr>
            <w:tcW w:w="2332" w:type="dxa"/>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lang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42" w:type="dxa"/>
            <w:vMerge w:val="restart"/>
            <w:vAlign w:val="center"/>
          </w:tcPr>
          <w:p>
            <w:pPr>
              <w:adjustRightInd w:val="0"/>
              <w:snapToGrid w:val="0"/>
              <w:jc w:val="center"/>
              <w:rPr>
                <w:rFonts w:ascii="宋体" w:hAnsi="宋体" w:eastAsia="宋体"/>
                <w:b/>
                <w:sz w:val="24"/>
                <w:szCs w:val="24"/>
              </w:rPr>
            </w:pPr>
            <w:r>
              <w:rPr>
                <w:rFonts w:hint="eastAsia" w:ascii="宋体" w:hAnsi="宋体" w:eastAsia="宋体"/>
                <w:b/>
                <w:sz w:val="24"/>
                <w:szCs w:val="24"/>
              </w:rPr>
              <w:t>一</w:t>
            </w:r>
          </w:p>
        </w:tc>
        <w:tc>
          <w:tcPr>
            <w:tcW w:w="1260" w:type="dxa"/>
            <w:vMerge w:val="restart"/>
            <w:vAlign w:val="center"/>
          </w:tcPr>
          <w:p>
            <w:pPr>
              <w:adjustRightInd w:val="0"/>
              <w:snapToGrid w:val="0"/>
              <w:rPr>
                <w:rFonts w:ascii="宋体" w:hAnsi="宋体" w:eastAsia="宋体"/>
                <w:sz w:val="24"/>
                <w:szCs w:val="24"/>
              </w:rPr>
            </w:pPr>
            <w:r>
              <w:rPr>
                <w:rFonts w:hint="eastAsia" w:ascii="宋体" w:hAnsi="宋体" w:eastAsia="宋体"/>
                <w:sz w:val="24"/>
                <w:szCs w:val="24"/>
              </w:rPr>
              <w:t>依法行政</w:t>
            </w:r>
          </w:p>
          <w:p>
            <w:pPr>
              <w:adjustRightInd w:val="0"/>
              <w:snapToGrid w:val="0"/>
              <w:rPr>
                <w:rFonts w:ascii="宋体" w:hAnsi="宋体" w:eastAsia="宋体"/>
                <w:sz w:val="24"/>
                <w:szCs w:val="24"/>
              </w:rPr>
            </w:pPr>
          </w:p>
        </w:tc>
        <w:tc>
          <w:tcPr>
            <w:tcW w:w="765" w:type="dxa"/>
            <w:vAlign w:val="center"/>
          </w:tcPr>
          <w:p>
            <w:pPr>
              <w:adjustRightInd w:val="0"/>
              <w:snapToGrid w:val="0"/>
              <w:jc w:val="center"/>
              <w:rPr>
                <w:rFonts w:ascii="宋体" w:hAnsi="宋体" w:eastAsia="宋体"/>
                <w:b/>
                <w:sz w:val="24"/>
                <w:szCs w:val="24"/>
              </w:rPr>
            </w:pPr>
            <w:r>
              <w:rPr>
                <w:rFonts w:hint="eastAsia" w:ascii="宋体" w:hAnsi="宋体" w:eastAsia="宋体"/>
                <w:b/>
                <w:sz w:val="24"/>
                <w:szCs w:val="24"/>
              </w:rPr>
              <w:t>1</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法治政府建设报告</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rPr>
              <w:t>按时编制并公布2019年度本级政府法治政府建设报告</w:t>
            </w:r>
          </w:p>
        </w:tc>
        <w:tc>
          <w:tcPr>
            <w:tcW w:w="2332" w:type="dxa"/>
            <w:vMerge w:val="restart"/>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牵头单位：区政府办、区司法局；</w:t>
            </w:r>
          </w:p>
          <w:p>
            <w:pPr>
              <w:adjustRightInd w:val="0"/>
              <w:snapToGrid w:val="0"/>
              <w:rPr>
                <w:rFonts w:ascii="宋体" w:hAnsi="宋体" w:eastAsia="宋体"/>
                <w:sz w:val="24"/>
                <w:szCs w:val="24"/>
              </w:rPr>
            </w:pPr>
            <w:r>
              <w:rPr>
                <w:rFonts w:hint="eastAsia" w:ascii="宋体" w:hAnsi="宋体" w:eastAsia="宋体"/>
                <w:sz w:val="24"/>
                <w:szCs w:val="24"/>
              </w:rPr>
              <w:t>配合单位：区各有关部门、各镇（街道）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42" w:type="dxa"/>
            <w:vMerge w:val="continue"/>
            <w:vAlign w:val="center"/>
          </w:tcPr>
          <w:p>
            <w:pPr>
              <w:adjustRightInd w:val="0"/>
              <w:snapToGrid w:val="0"/>
              <w:jc w:val="center"/>
              <w:rPr>
                <w:rFonts w:ascii="宋体" w:hAnsi="宋体" w:eastAsia="宋体"/>
                <w:b/>
                <w:sz w:val="24"/>
                <w:szCs w:val="24"/>
              </w:rPr>
            </w:pPr>
          </w:p>
        </w:tc>
        <w:tc>
          <w:tcPr>
            <w:tcW w:w="1260" w:type="dxa"/>
            <w:vMerge w:val="continue"/>
            <w:vAlign w:val="center"/>
          </w:tcPr>
          <w:p>
            <w:pPr>
              <w:adjustRightInd w:val="0"/>
              <w:snapToGrid w:val="0"/>
              <w:rPr>
                <w:rFonts w:ascii="宋体" w:hAnsi="宋体" w:eastAsia="宋体"/>
                <w:sz w:val="24"/>
                <w:szCs w:val="24"/>
              </w:rPr>
            </w:pPr>
          </w:p>
        </w:tc>
        <w:tc>
          <w:tcPr>
            <w:tcW w:w="765" w:type="dxa"/>
            <w:vAlign w:val="center"/>
          </w:tcPr>
          <w:p>
            <w:pPr>
              <w:adjustRightInd w:val="0"/>
              <w:snapToGrid w:val="0"/>
              <w:jc w:val="center"/>
              <w:rPr>
                <w:rFonts w:ascii="宋体" w:hAnsi="宋体" w:eastAsia="宋体"/>
                <w:b/>
                <w:sz w:val="24"/>
                <w:szCs w:val="24"/>
              </w:rPr>
            </w:pPr>
            <w:r>
              <w:rPr>
                <w:rFonts w:hint="eastAsia" w:ascii="宋体" w:hAnsi="宋体" w:eastAsia="宋体"/>
                <w:b/>
                <w:sz w:val="24"/>
                <w:szCs w:val="24"/>
              </w:rPr>
              <w:t>2</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重大行政决策制度</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rPr>
              <w:t>建立政府法律顾问、公众参与、专家论证、风险评估、合法性审查等制度，</w:t>
            </w:r>
            <w:r>
              <w:rPr>
                <w:rFonts w:hint="eastAsia" w:ascii="宋体" w:hAnsi="宋体" w:eastAsia="宋体"/>
                <w:sz w:val="24"/>
                <w:szCs w:val="24"/>
                <w:lang w:eastAsia="zh-CN"/>
              </w:rPr>
              <w:t>并有效</w:t>
            </w:r>
            <w:r>
              <w:rPr>
                <w:rFonts w:hint="eastAsia" w:ascii="宋体" w:hAnsi="宋体" w:eastAsia="宋体"/>
                <w:sz w:val="24"/>
                <w:szCs w:val="24"/>
              </w:rPr>
              <w:t>落实</w:t>
            </w:r>
          </w:p>
        </w:tc>
        <w:tc>
          <w:tcPr>
            <w:tcW w:w="2332" w:type="dxa"/>
            <w:vMerge w:val="continue"/>
            <w:vAlign w:val="center"/>
          </w:tcPr>
          <w:p>
            <w:pPr>
              <w:adjustRightInd w:val="0"/>
              <w:snapToGrid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2" w:type="dxa"/>
            <w:vMerge w:val="continue"/>
            <w:vAlign w:val="center"/>
          </w:tcPr>
          <w:p>
            <w:pPr>
              <w:adjustRightInd w:val="0"/>
              <w:snapToGrid w:val="0"/>
              <w:jc w:val="center"/>
              <w:rPr>
                <w:rFonts w:ascii="宋体" w:hAnsi="宋体" w:eastAsia="宋体"/>
                <w:b/>
                <w:sz w:val="24"/>
                <w:szCs w:val="24"/>
              </w:rPr>
            </w:pPr>
          </w:p>
        </w:tc>
        <w:tc>
          <w:tcPr>
            <w:tcW w:w="1260" w:type="dxa"/>
            <w:vMerge w:val="continue"/>
            <w:vAlign w:val="center"/>
          </w:tcPr>
          <w:p>
            <w:pPr>
              <w:adjustRightInd w:val="0"/>
              <w:snapToGrid w:val="0"/>
              <w:rPr>
                <w:rFonts w:ascii="宋体" w:hAnsi="宋体" w:eastAsia="宋体"/>
                <w:sz w:val="24"/>
                <w:szCs w:val="24"/>
              </w:rPr>
            </w:pPr>
          </w:p>
        </w:tc>
        <w:tc>
          <w:tcPr>
            <w:tcW w:w="765" w:type="dxa"/>
            <w:vAlign w:val="center"/>
          </w:tcPr>
          <w:p>
            <w:pPr>
              <w:adjustRightInd w:val="0"/>
              <w:snapToGrid w:val="0"/>
              <w:jc w:val="center"/>
              <w:rPr>
                <w:rFonts w:ascii="宋体" w:hAnsi="宋体" w:eastAsia="宋体"/>
                <w:b/>
                <w:sz w:val="24"/>
                <w:szCs w:val="24"/>
              </w:rPr>
            </w:pPr>
            <w:r>
              <w:rPr>
                <w:rFonts w:hint="eastAsia" w:ascii="宋体" w:hAnsi="宋体" w:eastAsia="宋体"/>
                <w:b/>
                <w:sz w:val="24"/>
                <w:szCs w:val="24"/>
              </w:rPr>
              <w:t>3</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行政监督制度</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rPr>
              <w:t>建立日常监督、专项检查、公众举报制度</w:t>
            </w:r>
          </w:p>
        </w:tc>
        <w:tc>
          <w:tcPr>
            <w:tcW w:w="2332" w:type="dxa"/>
            <w:vMerge w:val="continue"/>
            <w:vAlign w:val="center"/>
          </w:tcPr>
          <w:p>
            <w:pPr>
              <w:adjustRightInd w:val="0"/>
              <w:snapToGrid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2" w:type="dxa"/>
            <w:vMerge w:val="continue"/>
            <w:vAlign w:val="center"/>
          </w:tcPr>
          <w:p>
            <w:pPr>
              <w:adjustRightInd w:val="0"/>
              <w:snapToGrid w:val="0"/>
              <w:jc w:val="center"/>
              <w:rPr>
                <w:rFonts w:ascii="宋体" w:hAnsi="宋体" w:eastAsia="宋体"/>
                <w:b/>
                <w:sz w:val="24"/>
                <w:szCs w:val="24"/>
              </w:rPr>
            </w:pPr>
          </w:p>
        </w:tc>
        <w:tc>
          <w:tcPr>
            <w:tcW w:w="1260" w:type="dxa"/>
            <w:vMerge w:val="continue"/>
            <w:vAlign w:val="center"/>
          </w:tcPr>
          <w:p>
            <w:pPr>
              <w:adjustRightInd w:val="0"/>
              <w:snapToGrid w:val="0"/>
              <w:rPr>
                <w:rFonts w:ascii="宋体" w:hAnsi="宋体" w:eastAsia="宋体"/>
                <w:sz w:val="24"/>
                <w:szCs w:val="24"/>
              </w:rPr>
            </w:pPr>
          </w:p>
        </w:tc>
        <w:tc>
          <w:tcPr>
            <w:tcW w:w="765" w:type="dxa"/>
            <w:vAlign w:val="center"/>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lang w:val="en-US" w:eastAsia="zh-CN"/>
              </w:rPr>
              <w:t>4</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行政复议情况</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rPr>
              <w:t>评价期内，行政复议决定书判定政府违法情况</w:t>
            </w:r>
          </w:p>
        </w:tc>
        <w:tc>
          <w:tcPr>
            <w:tcW w:w="2332" w:type="dxa"/>
            <w:vMerge w:val="continue"/>
            <w:vAlign w:val="center"/>
          </w:tcPr>
          <w:p>
            <w:pPr>
              <w:adjustRightInd w:val="0"/>
              <w:snapToGrid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742" w:type="dxa"/>
            <w:vMerge w:val="restart"/>
            <w:vAlign w:val="center"/>
          </w:tcPr>
          <w:p>
            <w:pPr>
              <w:adjustRightInd w:val="0"/>
              <w:snapToGrid w:val="0"/>
              <w:jc w:val="center"/>
              <w:rPr>
                <w:rFonts w:ascii="宋体" w:hAnsi="宋体" w:eastAsia="宋体"/>
                <w:b/>
                <w:sz w:val="24"/>
                <w:szCs w:val="24"/>
              </w:rPr>
            </w:pPr>
            <w:r>
              <w:rPr>
                <w:rFonts w:hint="eastAsia" w:ascii="宋体" w:hAnsi="宋体" w:eastAsia="宋体"/>
                <w:b/>
                <w:sz w:val="24"/>
                <w:szCs w:val="24"/>
              </w:rPr>
              <w:t>二</w:t>
            </w:r>
          </w:p>
        </w:tc>
        <w:tc>
          <w:tcPr>
            <w:tcW w:w="1260" w:type="dxa"/>
            <w:vMerge w:val="restart"/>
            <w:vAlign w:val="center"/>
          </w:tcPr>
          <w:p>
            <w:pPr>
              <w:adjustRightInd w:val="0"/>
              <w:snapToGrid w:val="0"/>
              <w:rPr>
                <w:rFonts w:ascii="宋体" w:hAnsi="宋体" w:eastAsia="宋体"/>
                <w:sz w:val="24"/>
                <w:szCs w:val="24"/>
              </w:rPr>
            </w:pPr>
            <w:r>
              <w:rPr>
                <w:rFonts w:hint="eastAsia" w:ascii="宋体" w:hAnsi="宋体" w:eastAsia="宋体"/>
                <w:sz w:val="24"/>
                <w:szCs w:val="24"/>
              </w:rPr>
              <w:t>政务公开</w:t>
            </w:r>
          </w:p>
          <w:p>
            <w:pPr>
              <w:adjustRightInd w:val="0"/>
              <w:snapToGrid w:val="0"/>
              <w:rPr>
                <w:rFonts w:ascii="宋体" w:hAnsi="宋体" w:eastAsia="宋体"/>
                <w:sz w:val="24"/>
                <w:szCs w:val="24"/>
              </w:rPr>
            </w:pPr>
          </w:p>
        </w:tc>
        <w:tc>
          <w:tcPr>
            <w:tcW w:w="765" w:type="dxa"/>
            <w:vAlign w:val="center"/>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lang w:val="en-US" w:eastAsia="zh-CN"/>
              </w:rPr>
              <w:t>5</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政府官网政务公开情况</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rPr>
              <w:t>在本级政府官网设置政务公开专栏；在政务公开专栏能够查询到政府信息公开指南；在政务公开专栏能够查询到信息公开目录；在政务公开专栏能能够查询到政务公开制度；在政务公开专栏能够查询到政务公开年度报告；建立政务公开工作考核和评议制度</w:t>
            </w:r>
          </w:p>
        </w:tc>
        <w:tc>
          <w:tcPr>
            <w:tcW w:w="2332" w:type="dxa"/>
            <w:vMerge w:val="restart"/>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牵头单位：区政府办，区信用办；</w:t>
            </w:r>
          </w:p>
          <w:p>
            <w:pPr>
              <w:adjustRightInd w:val="0"/>
              <w:snapToGrid w:val="0"/>
              <w:rPr>
                <w:rFonts w:ascii="宋体" w:hAnsi="宋体" w:eastAsia="宋体"/>
                <w:sz w:val="24"/>
                <w:szCs w:val="24"/>
              </w:rPr>
            </w:pPr>
            <w:r>
              <w:rPr>
                <w:rFonts w:hint="eastAsia" w:ascii="宋体" w:hAnsi="宋体" w:eastAsia="宋体"/>
                <w:sz w:val="24"/>
                <w:szCs w:val="24"/>
              </w:rPr>
              <w:t>配合单位：区各有关部门、各镇（街道）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42" w:type="dxa"/>
            <w:vMerge w:val="continue"/>
            <w:vAlign w:val="center"/>
          </w:tcPr>
          <w:p>
            <w:pPr>
              <w:adjustRightInd w:val="0"/>
              <w:snapToGrid w:val="0"/>
              <w:jc w:val="center"/>
              <w:rPr>
                <w:rFonts w:ascii="宋体" w:hAnsi="宋体" w:eastAsia="宋体"/>
                <w:b/>
                <w:sz w:val="24"/>
                <w:szCs w:val="24"/>
              </w:rPr>
            </w:pPr>
          </w:p>
        </w:tc>
        <w:tc>
          <w:tcPr>
            <w:tcW w:w="1260" w:type="dxa"/>
            <w:vMerge w:val="continue"/>
            <w:vAlign w:val="center"/>
          </w:tcPr>
          <w:p>
            <w:pPr>
              <w:adjustRightInd w:val="0"/>
              <w:snapToGrid w:val="0"/>
              <w:rPr>
                <w:rFonts w:ascii="宋体" w:hAnsi="宋体" w:eastAsia="宋体"/>
                <w:sz w:val="24"/>
                <w:szCs w:val="24"/>
              </w:rPr>
            </w:pPr>
          </w:p>
        </w:tc>
        <w:tc>
          <w:tcPr>
            <w:tcW w:w="765" w:type="dxa"/>
            <w:vAlign w:val="center"/>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lang w:val="en-US" w:eastAsia="zh-CN"/>
              </w:rPr>
              <w:t>6</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信用门户网站“双公示”情况</w:t>
            </w:r>
          </w:p>
        </w:tc>
        <w:tc>
          <w:tcPr>
            <w:tcW w:w="8070" w:type="dxa"/>
            <w:vAlign w:val="center"/>
          </w:tcPr>
          <w:p>
            <w:pPr>
              <w:adjustRightInd w:val="0"/>
              <w:snapToGrid w:val="0"/>
              <w:rPr>
                <w:rFonts w:hint="eastAsia" w:ascii="宋体" w:hAnsi="宋体" w:eastAsia="宋体"/>
                <w:sz w:val="24"/>
                <w:szCs w:val="24"/>
                <w:lang w:eastAsia="zh-CN"/>
              </w:rPr>
            </w:pPr>
            <w:r>
              <w:rPr>
                <w:rFonts w:hint="eastAsia" w:ascii="宋体" w:hAnsi="宋体" w:eastAsia="宋体"/>
                <w:sz w:val="24"/>
                <w:szCs w:val="24"/>
              </w:rPr>
              <w:t>在信用门户网站</w:t>
            </w:r>
            <w:r>
              <w:rPr>
                <w:rFonts w:hint="eastAsia" w:ascii="宋体" w:hAnsi="宋体" w:eastAsia="宋体"/>
                <w:sz w:val="24"/>
                <w:szCs w:val="24"/>
                <w:lang w:eastAsia="zh-CN"/>
              </w:rPr>
              <w:t>或政府网站</w:t>
            </w:r>
            <w:r>
              <w:rPr>
                <w:rFonts w:hint="eastAsia" w:ascii="宋体" w:hAnsi="宋体" w:eastAsia="宋体"/>
                <w:sz w:val="24"/>
                <w:szCs w:val="24"/>
              </w:rPr>
              <w:t>设置</w:t>
            </w:r>
            <w:r>
              <w:rPr>
                <w:rFonts w:hint="eastAsia" w:ascii="宋体" w:hAnsi="宋体" w:eastAsia="宋体"/>
                <w:sz w:val="24"/>
                <w:szCs w:val="24"/>
                <w:lang w:eastAsia="zh-CN"/>
              </w:rPr>
              <w:t>行政许可、行政处罚</w:t>
            </w:r>
            <w:r>
              <w:rPr>
                <w:rFonts w:hint="eastAsia" w:ascii="宋体" w:hAnsi="宋体" w:eastAsia="宋体"/>
                <w:sz w:val="24"/>
                <w:szCs w:val="24"/>
              </w:rPr>
              <w:t>“双公示”专栏</w:t>
            </w:r>
            <w:r>
              <w:rPr>
                <w:rFonts w:hint="eastAsia" w:ascii="宋体" w:hAnsi="宋体" w:eastAsia="宋体"/>
                <w:sz w:val="24"/>
                <w:szCs w:val="24"/>
                <w:lang w:eastAsia="zh-CN"/>
              </w:rPr>
              <w:t>；</w:t>
            </w:r>
          </w:p>
          <w:p>
            <w:pPr>
              <w:adjustRightInd w:val="0"/>
              <w:snapToGrid w:val="0"/>
              <w:rPr>
                <w:rFonts w:hint="default" w:ascii="宋体" w:hAnsi="宋体" w:eastAsia="宋体"/>
                <w:sz w:val="24"/>
                <w:szCs w:val="24"/>
                <w:lang w:val="en-US" w:eastAsia="zh-CN"/>
              </w:rPr>
            </w:pPr>
            <w:r>
              <w:rPr>
                <w:rFonts w:hint="eastAsia" w:ascii="宋体" w:hAnsi="宋体" w:eastAsia="宋体"/>
                <w:sz w:val="24"/>
                <w:szCs w:val="24"/>
              </w:rPr>
              <w:t>制定并公示“双公示”目录；</w:t>
            </w:r>
            <w:r>
              <w:rPr>
                <w:rFonts w:hint="eastAsia" w:ascii="宋体" w:hAnsi="宋体" w:eastAsia="宋体"/>
                <w:sz w:val="24"/>
                <w:szCs w:val="24"/>
              </w:rPr>
              <w:br w:type="textWrapping"/>
            </w:r>
            <w:r>
              <w:rPr>
                <w:rFonts w:hint="eastAsia" w:ascii="宋体" w:hAnsi="宋体" w:eastAsia="宋体"/>
                <w:sz w:val="24"/>
                <w:szCs w:val="24"/>
              </w:rPr>
              <w:t>及时在信用门户网站</w:t>
            </w:r>
            <w:r>
              <w:rPr>
                <w:rFonts w:hint="eastAsia" w:ascii="宋体" w:hAnsi="宋体" w:eastAsia="宋体"/>
                <w:sz w:val="24"/>
                <w:szCs w:val="24"/>
                <w:lang w:eastAsia="zh-CN"/>
              </w:rPr>
              <w:t>或政府网站</w:t>
            </w:r>
            <w:r>
              <w:rPr>
                <w:rFonts w:hint="eastAsia" w:ascii="宋体" w:hAnsi="宋体" w:eastAsia="宋体"/>
                <w:sz w:val="24"/>
                <w:szCs w:val="24"/>
              </w:rPr>
              <w:t>上更新“双公示”信息；</w:t>
            </w:r>
            <w:r>
              <w:rPr>
                <w:rFonts w:hint="eastAsia" w:ascii="宋体" w:hAnsi="宋体" w:eastAsia="宋体"/>
                <w:sz w:val="24"/>
                <w:szCs w:val="24"/>
              </w:rPr>
              <w:br w:type="textWrapping"/>
            </w:r>
            <w:r>
              <w:rPr>
                <w:rFonts w:hint="eastAsia" w:ascii="宋体" w:hAnsi="宋体" w:eastAsia="宋体"/>
                <w:sz w:val="24"/>
                <w:szCs w:val="24"/>
              </w:rPr>
              <w:t>及时</w:t>
            </w:r>
            <w:r>
              <w:rPr>
                <w:rFonts w:hint="eastAsia" w:ascii="宋体" w:hAnsi="宋体" w:eastAsia="宋体"/>
                <w:sz w:val="24"/>
                <w:szCs w:val="24"/>
                <w:lang w:eastAsia="zh-CN"/>
              </w:rPr>
              <w:t>全量</w:t>
            </w:r>
            <w:r>
              <w:rPr>
                <w:rFonts w:hint="eastAsia" w:ascii="宋体" w:hAnsi="宋体" w:eastAsia="宋体"/>
                <w:sz w:val="24"/>
                <w:szCs w:val="24"/>
              </w:rPr>
              <w:t>报送“双公示”信息</w:t>
            </w:r>
            <w:r>
              <w:rPr>
                <w:rFonts w:hint="eastAsia" w:ascii="宋体" w:hAnsi="宋体" w:eastAsia="宋体"/>
                <w:sz w:val="24"/>
                <w:szCs w:val="24"/>
                <w:lang w:eastAsia="zh-CN"/>
              </w:rPr>
              <w:t>；未发生迟报、漏报、报错等现象</w:t>
            </w:r>
          </w:p>
        </w:tc>
        <w:tc>
          <w:tcPr>
            <w:tcW w:w="2332" w:type="dxa"/>
            <w:vMerge w:val="continue"/>
            <w:vAlign w:val="center"/>
          </w:tcPr>
          <w:p>
            <w:pPr>
              <w:adjustRightInd w:val="0"/>
              <w:snapToGrid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42" w:type="dxa"/>
            <w:vMerge w:val="restart"/>
            <w:vAlign w:val="center"/>
          </w:tcPr>
          <w:p>
            <w:pPr>
              <w:adjustRightInd w:val="0"/>
              <w:snapToGrid w:val="0"/>
              <w:jc w:val="center"/>
              <w:rPr>
                <w:rFonts w:ascii="宋体" w:hAnsi="宋体" w:eastAsia="宋体"/>
                <w:b/>
                <w:sz w:val="24"/>
                <w:szCs w:val="24"/>
              </w:rPr>
            </w:pPr>
            <w:r>
              <w:rPr>
                <w:rFonts w:hint="eastAsia" w:ascii="宋体" w:hAnsi="宋体" w:eastAsia="宋体"/>
                <w:b/>
                <w:sz w:val="24"/>
                <w:szCs w:val="24"/>
              </w:rPr>
              <w:t>三</w:t>
            </w:r>
          </w:p>
        </w:tc>
        <w:tc>
          <w:tcPr>
            <w:tcW w:w="1260" w:type="dxa"/>
            <w:vMerge w:val="restart"/>
            <w:vAlign w:val="center"/>
          </w:tcPr>
          <w:p>
            <w:pPr>
              <w:adjustRightInd w:val="0"/>
              <w:snapToGrid w:val="0"/>
              <w:rPr>
                <w:rFonts w:ascii="宋体" w:hAnsi="宋体" w:eastAsia="宋体"/>
                <w:sz w:val="24"/>
                <w:szCs w:val="24"/>
              </w:rPr>
            </w:pPr>
            <w:r>
              <w:rPr>
                <w:rFonts w:hint="eastAsia" w:ascii="宋体" w:hAnsi="宋体" w:eastAsia="宋体"/>
                <w:sz w:val="24"/>
                <w:szCs w:val="24"/>
              </w:rPr>
              <w:t>重点领域政务诚信建设</w:t>
            </w:r>
          </w:p>
          <w:p>
            <w:pPr>
              <w:adjustRightInd w:val="0"/>
              <w:snapToGrid w:val="0"/>
              <w:rPr>
                <w:rFonts w:ascii="宋体" w:hAnsi="宋体" w:eastAsia="宋体"/>
                <w:sz w:val="24"/>
                <w:szCs w:val="24"/>
              </w:rPr>
            </w:pPr>
          </w:p>
        </w:tc>
        <w:tc>
          <w:tcPr>
            <w:tcW w:w="765" w:type="dxa"/>
            <w:vAlign w:val="center"/>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lang w:val="en-US" w:eastAsia="zh-CN"/>
              </w:rPr>
              <w:t>7</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政府采购政务诚信建设</w:t>
            </w:r>
          </w:p>
        </w:tc>
        <w:tc>
          <w:tcPr>
            <w:tcW w:w="8070" w:type="dxa"/>
            <w:vAlign w:val="center"/>
          </w:tcPr>
          <w:p>
            <w:pPr>
              <w:adjustRightInd w:val="0"/>
              <w:snapToGrid w:val="0"/>
              <w:rPr>
                <w:rFonts w:hint="default" w:ascii="宋体" w:hAnsi="宋体" w:eastAsia="宋体"/>
                <w:sz w:val="24"/>
                <w:szCs w:val="24"/>
                <w:lang w:val="en-US" w:eastAsia="zh-CN"/>
              </w:rPr>
            </w:pPr>
            <w:r>
              <w:rPr>
                <w:rFonts w:hint="eastAsia" w:ascii="宋体" w:hAnsi="宋体" w:eastAsia="宋体"/>
                <w:sz w:val="24"/>
                <w:szCs w:val="24"/>
                <w:lang w:eastAsia="zh-CN"/>
              </w:rPr>
              <w:t>落实政府</w:t>
            </w:r>
            <w:r>
              <w:rPr>
                <w:rFonts w:hint="eastAsia" w:ascii="宋体" w:hAnsi="宋体" w:eastAsia="宋体"/>
                <w:sz w:val="24"/>
                <w:szCs w:val="24"/>
                <w:lang w:val="en-US" w:eastAsia="zh-CN"/>
              </w:rPr>
              <w:t>采购诚信建设相关文件制度；</w:t>
            </w:r>
          </w:p>
          <w:p>
            <w:pPr>
              <w:adjustRightInd w:val="0"/>
              <w:snapToGrid w:val="0"/>
              <w:rPr>
                <w:rFonts w:ascii="宋体" w:hAnsi="宋体" w:eastAsia="宋体"/>
                <w:sz w:val="24"/>
                <w:szCs w:val="24"/>
              </w:rPr>
            </w:pPr>
            <w:r>
              <w:rPr>
                <w:rFonts w:hint="eastAsia" w:ascii="宋体" w:hAnsi="宋体" w:eastAsia="宋体"/>
                <w:sz w:val="24"/>
                <w:szCs w:val="24"/>
              </w:rPr>
              <w:t>建立采购人信用承诺制；实施并签署信用承诺书；</w:t>
            </w:r>
            <w:r>
              <w:rPr>
                <w:rFonts w:hint="eastAsia" w:ascii="宋体" w:hAnsi="宋体" w:eastAsia="宋体"/>
                <w:sz w:val="24"/>
                <w:szCs w:val="24"/>
              </w:rPr>
              <w:br w:type="textWrapping"/>
            </w:r>
            <w:r>
              <w:rPr>
                <w:rFonts w:hint="eastAsia" w:ascii="宋体" w:hAnsi="宋体" w:eastAsia="宋体"/>
                <w:sz w:val="24"/>
                <w:szCs w:val="24"/>
              </w:rPr>
              <w:t>建立采购人违法违规记录及责任回溯机制</w:t>
            </w:r>
          </w:p>
        </w:tc>
        <w:tc>
          <w:tcPr>
            <w:tcW w:w="2332" w:type="dxa"/>
            <w:vAlign w:val="center"/>
          </w:tcPr>
          <w:p>
            <w:pPr>
              <w:adjustRightInd w:val="0"/>
              <w:snapToGrid w:val="0"/>
              <w:rPr>
                <w:rFonts w:hint="eastAsia" w:ascii="宋体" w:hAnsi="宋体" w:eastAsia="宋体"/>
                <w:sz w:val="24"/>
                <w:szCs w:val="24"/>
                <w:lang w:val="en-US" w:eastAsia="zh-CN"/>
              </w:rPr>
            </w:pPr>
            <w:r>
              <w:rPr>
                <w:rFonts w:hint="eastAsia" w:ascii="宋体" w:hAnsi="宋体" w:eastAsia="宋体"/>
                <w:sz w:val="24"/>
                <w:szCs w:val="24"/>
              </w:rPr>
              <w:t>牵头单位：区财政局、区行政审批局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42" w:type="dxa"/>
            <w:vMerge w:val="continue"/>
            <w:vAlign w:val="center"/>
          </w:tcPr>
          <w:p>
            <w:pPr>
              <w:adjustRightInd w:val="0"/>
              <w:snapToGrid w:val="0"/>
              <w:jc w:val="center"/>
              <w:rPr>
                <w:rFonts w:ascii="宋体" w:hAnsi="宋体" w:eastAsia="宋体"/>
                <w:b/>
                <w:sz w:val="24"/>
                <w:szCs w:val="24"/>
              </w:rPr>
            </w:pPr>
          </w:p>
        </w:tc>
        <w:tc>
          <w:tcPr>
            <w:tcW w:w="1260" w:type="dxa"/>
            <w:vMerge w:val="continue"/>
            <w:vAlign w:val="center"/>
          </w:tcPr>
          <w:p>
            <w:pPr>
              <w:adjustRightInd w:val="0"/>
              <w:snapToGrid w:val="0"/>
              <w:rPr>
                <w:rFonts w:ascii="宋体" w:hAnsi="宋体" w:eastAsia="宋体"/>
                <w:sz w:val="24"/>
                <w:szCs w:val="24"/>
              </w:rPr>
            </w:pPr>
          </w:p>
        </w:tc>
        <w:tc>
          <w:tcPr>
            <w:tcW w:w="765" w:type="dxa"/>
            <w:vAlign w:val="center"/>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lang w:val="en-US" w:eastAsia="zh-CN"/>
              </w:rPr>
              <w:t>8</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政府和社会资本合作政务诚信建设</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rPr>
              <w:t>出台政府和社会资本合作领域政务诚信建设相关制度文件；</w:t>
            </w:r>
            <w:r>
              <w:rPr>
                <w:rFonts w:hint="eastAsia" w:ascii="宋体" w:hAnsi="宋体" w:eastAsia="宋体"/>
                <w:sz w:val="24"/>
                <w:szCs w:val="24"/>
              </w:rPr>
              <w:br w:type="textWrapping"/>
            </w:r>
            <w:r>
              <w:rPr>
                <w:rFonts w:hint="eastAsia" w:ascii="宋体" w:hAnsi="宋体" w:eastAsia="宋体"/>
                <w:sz w:val="24"/>
                <w:szCs w:val="24"/>
              </w:rPr>
              <w:t>建立政府和社会资本合作失信违约记录</w:t>
            </w:r>
            <w:r>
              <w:rPr>
                <w:rFonts w:hint="eastAsia" w:ascii="宋体" w:hAnsi="宋体" w:eastAsia="宋体"/>
                <w:sz w:val="24"/>
                <w:szCs w:val="24"/>
                <w:lang w:eastAsia="zh-CN"/>
              </w:rPr>
              <w:t>，无违约记录的需提供相关制度</w:t>
            </w:r>
            <w:r>
              <w:rPr>
                <w:rFonts w:hint="eastAsia" w:ascii="宋体" w:hAnsi="宋体" w:eastAsia="宋体"/>
                <w:sz w:val="24"/>
                <w:szCs w:val="24"/>
              </w:rPr>
              <w:t>；</w:t>
            </w:r>
            <w:r>
              <w:rPr>
                <w:rFonts w:hint="eastAsia" w:ascii="宋体" w:hAnsi="宋体" w:eastAsia="宋体"/>
                <w:sz w:val="24"/>
                <w:szCs w:val="24"/>
              </w:rPr>
              <w:br w:type="textWrapping"/>
            </w:r>
            <w:r>
              <w:rPr>
                <w:rFonts w:hint="eastAsia" w:ascii="宋体" w:hAnsi="宋体" w:eastAsia="宋体"/>
                <w:sz w:val="24"/>
                <w:szCs w:val="24"/>
              </w:rPr>
              <w:t>建立项目责任回溯机制</w:t>
            </w:r>
          </w:p>
        </w:tc>
        <w:tc>
          <w:tcPr>
            <w:tcW w:w="2332" w:type="dxa"/>
            <w:vAlign w:val="center"/>
          </w:tcPr>
          <w:p>
            <w:pPr>
              <w:adjustRightInd w:val="0"/>
              <w:snapToGrid w:val="0"/>
              <w:rPr>
                <w:rFonts w:hint="eastAsia" w:ascii="宋体" w:hAnsi="宋体" w:eastAsia="宋体"/>
                <w:sz w:val="24"/>
                <w:szCs w:val="24"/>
                <w:lang w:val="en-US" w:eastAsia="zh-CN"/>
              </w:rPr>
            </w:pPr>
            <w:r>
              <w:rPr>
                <w:rFonts w:hint="eastAsia" w:ascii="宋体" w:hAnsi="宋体" w:eastAsia="宋体"/>
                <w:sz w:val="24"/>
                <w:szCs w:val="24"/>
              </w:rPr>
              <w:t>牵头单位：</w:t>
            </w:r>
            <w:r>
              <w:rPr>
                <w:rFonts w:hint="eastAsia" w:ascii="宋体" w:hAnsi="宋体" w:eastAsia="宋体"/>
                <w:sz w:val="24"/>
                <w:szCs w:val="24"/>
                <w:lang w:eastAsia="zh-CN"/>
              </w:rPr>
              <w:t>区</w:t>
            </w:r>
            <w:r>
              <w:rPr>
                <w:rFonts w:hint="eastAsia" w:ascii="宋体" w:hAnsi="宋体" w:eastAsia="宋体"/>
                <w:sz w:val="24"/>
                <w:szCs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42" w:type="dxa"/>
            <w:vMerge w:val="continue"/>
            <w:vAlign w:val="center"/>
          </w:tcPr>
          <w:p>
            <w:pPr>
              <w:adjustRightInd w:val="0"/>
              <w:snapToGrid w:val="0"/>
              <w:jc w:val="center"/>
              <w:rPr>
                <w:rFonts w:ascii="宋体" w:hAnsi="宋体" w:eastAsia="宋体"/>
                <w:b/>
                <w:sz w:val="24"/>
                <w:szCs w:val="24"/>
              </w:rPr>
            </w:pPr>
          </w:p>
        </w:tc>
        <w:tc>
          <w:tcPr>
            <w:tcW w:w="1260" w:type="dxa"/>
            <w:vMerge w:val="continue"/>
            <w:vAlign w:val="center"/>
          </w:tcPr>
          <w:p>
            <w:pPr>
              <w:adjustRightInd w:val="0"/>
              <w:snapToGrid w:val="0"/>
              <w:rPr>
                <w:rFonts w:ascii="宋体" w:hAnsi="宋体" w:eastAsia="宋体"/>
                <w:sz w:val="24"/>
                <w:szCs w:val="24"/>
              </w:rPr>
            </w:pPr>
          </w:p>
        </w:tc>
        <w:tc>
          <w:tcPr>
            <w:tcW w:w="765" w:type="dxa"/>
            <w:vAlign w:val="center"/>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lang w:val="en-US" w:eastAsia="zh-CN"/>
              </w:rPr>
              <w:t>9</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招标投标政务诚信建设</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lang w:eastAsia="zh-CN"/>
              </w:rPr>
              <w:t>向市信用平台报送招标投标信用信息</w:t>
            </w:r>
            <w:r>
              <w:rPr>
                <w:rFonts w:hint="eastAsia" w:ascii="宋体" w:hAnsi="宋体" w:eastAsia="宋体"/>
                <w:sz w:val="24"/>
                <w:szCs w:val="24"/>
              </w:rPr>
              <w:t>；</w:t>
            </w:r>
            <w:r>
              <w:rPr>
                <w:rFonts w:hint="eastAsia" w:ascii="宋体" w:hAnsi="宋体" w:eastAsia="宋体"/>
                <w:sz w:val="24"/>
                <w:szCs w:val="24"/>
              </w:rPr>
              <w:br w:type="textWrapping"/>
            </w:r>
            <w:r>
              <w:rPr>
                <w:rFonts w:hint="eastAsia" w:ascii="宋体" w:hAnsi="宋体" w:eastAsia="宋体"/>
                <w:sz w:val="24"/>
                <w:szCs w:val="24"/>
                <w:lang w:eastAsia="zh-CN"/>
              </w:rPr>
              <w:t>使用</w:t>
            </w:r>
            <w:r>
              <w:rPr>
                <w:rFonts w:hint="eastAsia" w:ascii="宋体" w:hAnsi="宋体" w:eastAsia="宋体"/>
                <w:sz w:val="24"/>
                <w:szCs w:val="24"/>
              </w:rPr>
              <w:t>市公共资源交易</w:t>
            </w:r>
            <w:r>
              <w:rPr>
                <w:rFonts w:hint="eastAsia" w:ascii="宋体" w:hAnsi="宋体" w:eastAsia="宋体"/>
                <w:sz w:val="24"/>
                <w:szCs w:val="24"/>
                <w:lang w:eastAsia="zh-CN"/>
              </w:rPr>
              <w:t>平台，或自建平台与市公共资源交易平台</w:t>
            </w:r>
            <w:r>
              <w:rPr>
                <w:rFonts w:hint="eastAsia" w:ascii="宋体" w:hAnsi="宋体" w:eastAsia="宋体"/>
                <w:sz w:val="24"/>
                <w:szCs w:val="24"/>
              </w:rPr>
              <w:t>实现技术上互联互通，信息上资源共享共用；</w:t>
            </w:r>
            <w:r>
              <w:rPr>
                <w:rFonts w:hint="eastAsia" w:ascii="宋体" w:hAnsi="宋体" w:eastAsia="宋体"/>
                <w:sz w:val="24"/>
                <w:szCs w:val="24"/>
              </w:rPr>
              <w:br w:type="textWrapping"/>
            </w:r>
            <w:r>
              <w:rPr>
                <w:rFonts w:hint="eastAsia" w:ascii="宋体" w:hAnsi="宋体" w:eastAsia="宋体"/>
                <w:sz w:val="24"/>
                <w:szCs w:val="24"/>
              </w:rPr>
              <w:t>建立招标人不良信用记录，对招标人开展信用审查</w:t>
            </w:r>
          </w:p>
        </w:tc>
        <w:tc>
          <w:tcPr>
            <w:tcW w:w="2332" w:type="dxa"/>
            <w:vAlign w:val="center"/>
          </w:tcPr>
          <w:p>
            <w:pPr>
              <w:adjustRightInd w:val="0"/>
              <w:snapToGrid w:val="0"/>
              <w:rPr>
                <w:rFonts w:hint="eastAsia" w:ascii="宋体" w:hAnsi="宋体" w:eastAsia="宋体"/>
                <w:sz w:val="24"/>
                <w:szCs w:val="24"/>
                <w:lang w:eastAsia="zh-CN"/>
              </w:rPr>
            </w:pPr>
            <w:r>
              <w:rPr>
                <w:rFonts w:hint="eastAsia" w:ascii="宋体" w:hAnsi="宋体" w:eastAsia="宋体"/>
                <w:sz w:val="24"/>
                <w:szCs w:val="24"/>
              </w:rPr>
              <w:t>牵头单位：区行政审批局</w:t>
            </w:r>
            <w:r>
              <w:rPr>
                <w:rFonts w:hint="eastAsia" w:ascii="宋体" w:hAnsi="宋体" w:eastAsia="宋体"/>
                <w:sz w:val="24"/>
                <w:szCs w:val="24"/>
                <w:lang w:eastAsia="zh-CN"/>
              </w:rPr>
              <w:t>；</w:t>
            </w:r>
          </w:p>
          <w:p>
            <w:pPr>
              <w:adjustRightInd w:val="0"/>
              <w:snapToGrid w:val="0"/>
              <w:rPr>
                <w:rFonts w:hint="eastAsia" w:ascii="宋体" w:hAnsi="宋体" w:eastAsia="宋体"/>
                <w:sz w:val="24"/>
                <w:szCs w:val="24"/>
                <w:lang w:val="en-US" w:eastAsia="zh-CN"/>
              </w:rPr>
            </w:pPr>
            <w:r>
              <w:rPr>
                <w:rFonts w:hint="eastAsia" w:ascii="宋体" w:hAnsi="宋体" w:eastAsia="宋体"/>
                <w:sz w:val="24"/>
                <w:szCs w:val="24"/>
                <w:lang w:eastAsia="zh-CN"/>
              </w:rPr>
              <w:t>配合单位：区</w:t>
            </w:r>
            <w:r>
              <w:rPr>
                <w:rFonts w:hint="eastAsia" w:ascii="宋体" w:hAnsi="宋体" w:eastAsia="宋体"/>
                <w:sz w:val="24"/>
                <w:szCs w:val="24"/>
              </w:rPr>
              <w:t>各有关部门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42" w:type="dxa"/>
            <w:vMerge w:val="continue"/>
            <w:vAlign w:val="center"/>
          </w:tcPr>
          <w:p>
            <w:pPr>
              <w:adjustRightInd w:val="0"/>
              <w:snapToGrid w:val="0"/>
              <w:jc w:val="center"/>
              <w:rPr>
                <w:rFonts w:ascii="宋体" w:hAnsi="宋体" w:eastAsia="宋体"/>
                <w:b/>
                <w:sz w:val="24"/>
                <w:szCs w:val="24"/>
              </w:rPr>
            </w:pPr>
          </w:p>
        </w:tc>
        <w:tc>
          <w:tcPr>
            <w:tcW w:w="1260" w:type="dxa"/>
            <w:vMerge w:val="continue"/>
            <w:vAlign w:val="center"/>
          </w:tcPr>
          <w:p>
            <w:pPr>
              <w:adjustRightInd w:val="0"/>
              <w:snapToGrid w:val="0"/>
              <w:rPr>
                <w:rFonts w:ascii="宋体" w:hAnsi="宋体" w:eastAsia="宋体"/>
                <w:sz w:val="24"/>
                <w:szCs w:val="24"/>
              </w:rPr>
            </w:pPr>
          </w:p>
        </w:tc>
        <w:tc>
          <w:tcPr>
            <w:tcW w:w="765" w:type="dxa"/>
            <w:vAlign w:val="center"/>
          </w:tcPr>
          <w:p>
            <w:pPr>
              <w:adjustRightInd w:val="0"/>
              <w:snapToGrid w:val="0"/>
              <w:jc w:val="center"/>
              <w:rPr>
                <w:rFonts w:hint="default" w:ascii="宋体" w:hAnsi="宋体" w:eastAsia="宋体"/>
                <w:b/>
                <w:sz w:val="24"/>
                <w:szCs w:val="24"/>
                <w:lang w:val="en-US" w:eastAsia="zh-CN"/>
              </w:rPr>
            </w:pPr>
            <w:r>
              <w:rPr>
                <w:rFonts w:hint="eastAsia" w:ascii="宋体" w:hAnsi="宋体" w:eastAsia="宋体"/>
                <w:b/>
                <w:sz w:val="24"/>
                <w:szCs w:val="24"/>
                <w:lang w:val="en-US" w:eastAsia="zh-CN"/>
              </w:rPr>
              <w:t>10</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招商引资政务诚信建设</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rPr>
              <w:t>出台招商引资领域政务诚信建设相关制度文件，明确政府在招商引资过程中的权力限制和职责；</w:t>
            </w:r>
            <w:r>
              <w:rPr>
                <w:rFonts w:hint="eastAsia" w:ascii="宋体" w:hAnsi="宋体" w:eastAsia="宋体"/>
                <w:sz w:val="24"/>
                <w:szCs w:val="24"/>
              </w:rPr>
              <w:br w:type="textWrapping"/>
            </w:r>
            <w:r>
              <w:rPr>
                <w:rFonts w:hint="eastAsia" w:ascii="宋体" w:hAnsi="宋体" w:eastAsia="宋体"/>
                <w:sz w:val="24"/>
                <w:szCs w:val="24"/>
              </w:rPr>
              <w:t>建立招商引资责任人信用承诺制；</w:t>
            </w:r>
            <w:r>
              <w:rPr>
                <w:rFonts w:hint="eastAsia" w:ascii="宋体" w:hAnsi="宋体" w:eastAsia="宋体"/>
                <w:sz w:val="24"/>
                <w:szCs w:val="24"/>
              </w:rPr>
              <w:br w:type="textWrapping"/>
            </w:r>
            <w:r>
              <w:rPr>
                <w:rFonts w:hint="eastAsia" w:ascii="宋体" w:hAnsi="宋体" w:eastAsia="宋体"/>
                <w:sz w:val="24"/>
                <w:szCs w:val="24"/>
              </w:rPr>
              <w:t>建立依法补偿制度</w:t>
            </w:r>
          </w:p>
        </w:tc>
        <w:tc>
          <w:tcPr>
            <w:tcW w:w="2332" w:type="dxa"/>
            <w:vAlign w:val="center"/>
          </w:tcPr>
          <w:p>
            <w:pPr>
              <w:adjustRightInd w:val="0"/>
              <w:snapToGrid w:val="0"/>
              <w:rPr>
                <w:rFonts w:hint="eastAsia" w:ascii="宋体" w:hAnsi="宋体" w:eastAsia="宋体"/>
                <w:sz w:val="24"/>
                <w:szCs w:val="24"/>
                <w:lang w:val="en-US" w:eastAsia="zh-CN"/>
              </w:rPr>
            </w:pPr>
            <w:r>
              <w:rPr>
                <w:rFonts w:hint="eastAsia" w:ascii="宋体" w:hAnsi="宋体" w:eastAsia="宋体"/>
                <w:sz w:val="24"/>
                <w:szCs w:val="24"/>
              </w:rPr>
              <w:t>牵头单位：</w:t>
            </w:r>
            <w:r>
              <w:rPr>
                <w:rFonts w:hint="eastAsia" w:ascii="宋体" w:hAnsi="宋体" w:eastAsia="宋体"/>
                <w:sz w:val="24"/>
                <w:szCs w:val="24"/>
                <w:lang w:eastAsia="zh-CN"/>
              </w:rPr>
              <w:t>区商务局、区工信局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42" w:type="dxa"/>
            <w:vMerge w:val="continue"/>
            <w:vAlign w:val="center"/>
          </w:tcPr>
          <w:p>
            <w:pPr>
              <w:adjustRightInd w:val="0"/>
              <w:snapToGrid w:val="0"/>
              <w:jc w:val="center"/>
              <w:rPr>
                <w:rFonts w:ascii="宋体" w:hAnsi="宋体" w:eastAsia="宋体"/>
                <w:b/>
                <w:sz w:val="24"/>
                <w:szCs w:val="24"/>
              </w:rPr>
            </w:pPr>
          </w:p>
        </w:tc>
        <w:tc>
          <w:tcPr>
            <w:tcW w:w="1260" w:type="dxa"/>
            <w:vMerge w:val="continue"/>
            <w:vAlign w:val="center"/>
          </w:tcPr>
          <w:p>
            <w:pPr>
              <w:adjustRightInd w:val="0"/>
              <w:snapToGrid w:val="0"/>
              <w:rPr>
                <w:rFonts w:ascii="宋体" w:hAnsi="宋体" w:eastAsia="宋体"/>
                <w:sz w:val="24"/>
                <w:szCs w:val="24"/>
              </w:rPr>
            </w:pPr>
          </w:p>
        </w:tc>
        <w:tc>
          <w:tcPr>
            <w:tcW w:w="765" w:type="dxa"/>
            <w:vAlign w:val="center"/>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rPr>
              <w:t>1</w:t>
            </w:r>
            <w:r>
              <w:rPr>
                <w:rFonts w:hint="eastAsia" w:ascii="宋体" w:hAnsi="宋体" w:eastAsia="宋体"/>
                <w:b/>
                <w:sz w:val="24"/>
                <w:szCs w:val="24"/>
                <w:lang w:val="en-US" w:eastAsia="zh-CN"/>
              </w:rPr>
              <w:t>1</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地方政府债务政务诚信建设</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rPr>
              <w:t>在政府官网及时规范公开地方政府债务信息，内容准确、详实；</w:t>
            </w:r>
            <w:r>
              <w:rPr>
                <w:rFonts w:hint="eastAsia" w:ascii="宋体" w:hAnsi="宋体" w:eastAsia="宋体"/>
                <w:sz w:val="24"/>
                <w:szCs w:val="24"/>
              </w:rPr>
              <w:br w:type="textWrapping"/>
            </w:r>
            <w:r>
              <w:rPr>
                <w:rFonts w:hint="eastAsia" w:ascii="宋体" w:hAnsi="宋体" w:eastAsia="宋体"/>
                <w:sz w:val="24"/>
                <w:szCs w:val="24"/>
              </w:rPr>
              <w:t>建立地方政府债务风险评估和预警机制；</w:t>
            </w:r>
            <w:r>
              <w:rPr>
                <w:rFonts w:hint="eastAsia" w:ascii="宋体" w:hAnsi="宋体" w:eastAsia="宋体"/>
                <w:sz w:val="24"/>
                <w:szCs w:val="24"/>
              </w:rPr>
              <w:br w:type="textWrapping"/>
            </w:r>
            <w:r>
              <w:rPr>
                <w:rFonts w:hint="eastAsia" w:ascii="宋体" w:hAnsi="宋体" w:eastAsia="宋体"/>
                <w:sz w:val="24"/>
                <w:szCs w:val="24"/>
              </w:rPr>
              <w:t>建立地方政府债务应急处置以及考核问责机制</w:t>
            </w:r>
          </w:p>
        </w:tc>
        <w:tc>
          <w:tcPr>
            <w:tcW w:w="2332" w:type="dxa"/>
            <w:vAlign w:val="center"/>
          </w:tcPr>
          <w:p>
            <w:pPr>
              <w:adjustRightInd w:val="0"/>
              <w:snapToGrid w:val="0"/>
              <w:rPr>
                <w:rFonts w:hint="eastAsia" w:ascii="宋体" w:hAnsi="宋体" w:eastAsia="宋体"/>
                <w:sz w:val="24"/>
                <w:szCs w:val="24"/>
                <w:lang w:val="en-US" w:eastAsia="zh-CN"/>
              </w:rPr>
            </w:pPr>
            <w:r>
              <w:rPr>
                <w:rFonts w:hint="eastAsia" w:ascii="宋体" w:hAnsi="宋体" w:eastAsia="宋体"/>
                <w:sz w:val="24"/>
                <w:szCs w:val="24"/>
              </w:rPr>
              <w:t>牵头单位</w:t>
            </w:r>
            <w:r>
              <w:rPr>
                <w:rFonts w:hint="eastAsia" w:ascii="宋体" w:hAnsi="宋体" w:eastAsia="宋体"/>
                <w:sz w:val="24"/>
                <w:szCs w:val="24"/>
                <w:lang w:eastAsia="zh-CN"/>
              </w:rPr>
              <w:t>：区财政局、区审计局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42" w:type="dxa"/>
            <w:vMerge w:val="continue"/>
            <w:vAlign w:val="center"/>
          </w:tcPr>
          <w:p>
            <w:pPr>
              <w:adjustRightInd w:val="0"/>
              <w:snapToGrid w:val="0"/>
              <w:jc w:val="center"/>
              <w:rPr>
                <w:rFonts w:ascii="宋体" w:hAnsi="宋体" w:eastAsia="宋体"/>
                <w:b/>
                <w:sz w:val="24"/>
                <w:szCs w:val="24"/>
              </w:rPr>
            </w:pPr>
          </w:p>
        </w:tc>
        <w:tc>
          <w:tcPr>
            <w:tcW w:w="1260" w:type="dxa"/>
            <w:vMerge w:val="continue"/>
            <w:vAlign w:val="center"/>
          </w:tcPr>
          <w:p>
            <w:pPr>
              <w:adjustRightInd w:val="0"/>
              <w:snapToGrid w:val="0"/>
              <w:rPr>
                <w:rFonts w:ascii="宋体" w:hAnsi="宋体" w:eastAsia="宋体"/>
                <w:sz w:val="24"/>
                <w:szCs w:val="24"/>
              </w:rPr>
            </w:pPr>
          </w:p>
        </w:tc>
        <w:tc>
          <w:tcPr>
            <w:tcW w:w="765" w:type="dxa"/>
            <w:vAlign w:val="center"/>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rPr>
              <w:t>1</w:t>
            </w:r>
            <w:r>
              <w:rPr>
                <w:rFonts w:hint="eastAsia" w:ascii="宋体" w:hAnsi="宋体" w:eastAsia="宋体"/>
                <w:b/>
                <w:sz w:val="24"/>
                <w:szCs w:val="24"/>
                <w:lang w:val="en-US" w:eastAsia="zh-CN"/>
              </w:rPr>
              <w:t>2</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统计政务诚信建设</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rPr>
              <w:t>出台统计领域政务诚信建设相关制度文件；</w:t>
            </w:r>
            <w:r>
              <w:rPr>
                <w:rFonts w:hint="eastAsia" w:ascii="宋体" w:hAnsi="宋体" w:eastAsia="宋体"/>
                <w:sz w:val="24"/>
                <w:szCs w:val="24"/>
              </w:rPr>
              <w:br w:type="textWrapping"/>
            </w:r>
            <w:r>
              <w:rPr>
                <w:rFonts w:hint="eastAsia" w:ascii="宋体" w:hAnsi="宋体" w:eastAsia="宋体"/>
                <w:sz w:val="24"/>
                <w:szCs w:val="24"/>
              </w:rPr>
              <w:t>建立统计从业人员信用档案，；实施信用承诺制并签署信用承诺书；</w:t>
            </w:r>
            <w:r>
              <w:rPr>
                <w:rFonts w:hint="eastAsia" w:ascii="宋体" w:hAnsi="宋体" w:eastAsia="宋体"/>
                <w:sz w:val="24"/>
                <w:szCs w:val="24"/>
              </w:rPr>
              <w:br w:type="textWrapping"/>
            </w:r>
            <w:r>
              <w:rPr>
                <w:rFonts w:hint="eastAsia" w:ascii="宋体" w:hAnsi="宋体" w:eastAsia="宋体"/>
                <w:sz w:val="24"/>
                <w:szCs w:val="24"/>
              </w:rPr>
              <w:t>对统计领域政府部门和事业单位建立失信问责和联合惩戒机制</w:t>
            </w:r>
          </w:p>
        </w:tc>
        <w:tc>
          <w:tcPr>
            <w:tcW w:w="2332" w:type="dxa"/>
            <w:vAlign w:val="center"/>
          </w:tcPr>
          <w:p>
            <w:pPr>
              <w:adjustRightInd w:val="0"/>
              <w:snapToGrid w:val="0"/>
              <w:rPr>
                <w:rFonts w:hint="eastAsia" w:ascii="宋体" w:hAnsi="宋体" w:eastAsia="宋体"/>
                <w:sz w:val="24"/>
                <w:szCs w:val="24"/>
                <w:lang w:val="en-US" w:eastAsia="zh-CN"/>
              </w:rPr>
            </w:pPr>
            <w:r>
              <w:rPr>
                <w:rFonts w:hint="eastAsia" w:ascii="宋体" w:hAnsi="宋体" w:eastAsia="宋体"/>
                <w:sz w:val="24"/>
                <w:szCs w:val="24"/>
              </w:rPr>
              <w:t>牵头单位：</w:t>
            </w:r>
            <w:r>
              <w:rPr>
                <w:rFonts w:hint="eastAsia" w:ascii="宋体" w:hAnsi="宋体" w:eastAsia="宋体"/>
                <w:sz w:val="24"/>
                <w:szCs w:val="24"/>
                <w:lang w:eastAsia="zh-CN"/>
              </w:rPr>
              <w:t>区</w:t>
            </w:r>
            <w:r>
              <w:rPr>
                <w:rFonts w:hint="eastAsia" w:ascii="宋体" w:hAnsi="宋体" w:eastAsia="宋体"/>
                <w:sz w:val="24"/>
                <w:szCs w:val="24"/>
              </w:rPr>
              <w:t>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42" w:type="dxa"/>
            <w:vMerge w:val="continue"/>
            <w:vAlign w:val="center"/>
          </w:tcPr>
          <w:p>
            <w:pPr>
              <w:adjustRightInd w:val="0"/>
              <w:snapToGrid w:val="0"/>
              <w:jc w:val="center"/>
              <w:rPr>
                <w:rFonts w:ascii="宋体" w:hAnsi="宋体" w:eastAsia="宋体"/>
                <w:b/>
                <w:sz w:val="24"/>
                <w:szCs w:val="24"/>
              </w:rPr>
            </w:pPr>
          </w:p>
        </w:tc>
        <w:tc>
          <w:tcPr>
            <w:tcW w:w="1260" w:type="dxa"/>
            <w:vMerge w:val="continue"/>
            <w:vAlign w:val="center"/>
          </w:tcPr>
          <w:p>
            <w:pPr>
              <w:adjustRightInd w:val="0"/>
              <w:snapToGrid w:val="0"/>
              <w:rPr>
                <w:rFonts w:ascii="宋体" w:hAnsi="宋体" w:eastAsia="宋体"/>
                <w:sz w:val="24"/>
                <w:szCs w:val="24"/>
              </w:rPr>
            </w:pPr>
          </w:p>
        </w:tc>
        <w:tc>
          <w:tcPr>
            <w:tcW w:w="765" w:type="dxa"/>
            <w:vAlign w:val="center"/>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rPr>
              <w:t>1</w:t>
            </w:r>
            <w:r>
              <w:rPr>
                <w:rFonts w:hint="eastAsia" w:ascii="宋体" w:hAnsi="宋体" w:eastAsia="宋体"/>
                <w:b/>
                <w:sz w:val="24"/>
                <w:szCs w:val="24"/>
                <w:lang w:val="en-US" w:eastAsia="zh-CN"/>
              </w:rPr>
              <w:t>3</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街道和乡镇政务诚信建设</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rPr>
              <w:t>将政务诚信建设纳入街道和乡镇综合考核体系；</w:t>
            </w:r>
            <w:r>
              <w:rPr>
                <w:rFonts w:hint="eastAsia" w:ascii="宋体" w:hAnsi="宋体" w:eastAsia="宋体"/>
                <w:sz w:val="24"/>
                <w:szCs w:val="24"/>
              </w:rPr>
              <w:br w:type="textWrapping"/>
            </w:r>
            <w:r>
              <w:rPr>
                <w:rFonts w:hint="eastAsia" w:ascii="宋体" w:hAnsi="宋体" w:eastAsia="宋体"/>
                <w:sz w:val="24"/>
                <w:szCs w:val="24"/>
              </w:rPr>
              <w:t>在街道和乡镇政务、财务、就业、物业、教育、医疗、扶贫、拥军优属、便民服务等方面，建立公开承诺制度</w:t>
            </w:r>
          </w:p>
        </w:tc>
        <w:tc>
          <w:tcPr>
            <w:tcW w:w="2332" w:type="dxa"/>
            <w:vAlign w:val="center"/>
          </w:tcPr>
          <w:p>
            <w:pPr>
              <w:adjustRightInd w:val="0"/>
              <w:snapToGrid w:val="0"/>
              <w:rPr>
                <w:rFonts w:hint="eastAsia" w:ascii="宋体" w:hAnsi="宋体" w:eastAsia="宋体"/>
                <w:sz w:val="24"/>
                <w:szCs w:val="24"/>
                <w:lang w:val="en-US" w:eastAsia="zh-CN"/>
              </w:rPr>
            </w:pPr>
            <w:r>
              <w:rPr>
                <w:rFonts w:hint="eastAsia" w:ascii="宋体" w:hAnsi="宋体" w:eastAsia="宋体"/>
                <w:sz w:val="24"/>
                <w:szCs w:val="24"/>
              </w:rPr>
              <w:t>牵头单位：各镇（街道）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42" w:type="dxa"/>
            <w:vMerge w:val="restart"/>
            <w:vAlign w:val="center"/>
          </w:tcPr>
          <w:p>
            <w:pPr>
              <w:adjustRightInd w:val="0"/>
              <w:snapToGrid w:val="0"/>
              <w:jc w:val="center"/>
              <w:rPr>
                <w:rFonts w:ascii="宋体" w:hAnsi="宋体" w:eastAsia="宋体"/>
                <w:b/>
                <w:sz w:val="24"/>
                <w:szCs w:val="24"/>
              </w:rPr>
            </w:pPr>
            <w:r>
              <w:rPr>
                <w:rFonts w:hint="eastAsia" w:ascii="宋体" w:hAnsi="宋体" w:eastAsia="宋体"/>
                <w:b/>
                <w:sz w:val="24"/>
                <w:szCs w:val="24"/>
              </w:rPr>
              <w:t>四</w:t>
            </w:r>
          </w:p>
        </w:tc>
        <w:tc>
          <w:tcPr>
            <w:tcW w:w="1260" w:type="dxa"/>
            <w:vMerge w:val="restart"/>
            <w:vAlign w:val="center"/>
          </w:tcPr>
          <w:p>
            <w:pPr>
              <w:adjustRightInd w:val="0"/>
              <w:snapToGrid w:val="0"/>
              <w:rPr>
                <w:rFonts w:ascii="宋体" w:hAnsi="宋体" w:eastAsia="宋体"/>
                <w:sz w:val="24"/>
                <w:szCs w:val="24"/>
              </w:rPr>
            </w:pPr>
            <w:r>
              <w:rPr>
                <w:rFonts w:hint="eastAsia" w:ascii="宋体" w:hAnsi="宋体" w:eastAsia="宋体"/>
                <w:sz w:val="24"/>
                <w:szCs w:val="24"/>
              </w:rPr>
              <w:t>政务诚信监测与失信治理</w:t>
            </w:r>
          </w:p>
        </w:tc>
        <w:tc>
          <w:tcPr>
            <w:tcW w:w="765" w:type="dxa"/>
            <w:vAlign w:val="center"/>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rPr>
              <w:t>1</w:t>
            </w:r>
            <w:r>
              <w:rPr>
                <w:rFonts w:hint="eastAsia" w:ascii="宋体" w:hAnsi="宋体" w:eastAsia="宋体"/>
                <w:b/>
                <w:sz w:val="24"/>
                <w:szCs w:val="24"/>
                <w:lang w:val="en-US" w:eastAsia="zh-CN"/>
              </w:rPr>
              <w:t>4</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政府机构失信案件专项治理</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rPr>
              <w:t>国家下达、省高院统计的政府机构失信案件情况，评价期内，失信案件清零</w:t>
            </w:r>
          </w:p>
        </w:tc>
        <w:tc>
          <w:tcPr>
            <w:tcW w:w="2332" w:type="dxa"/>
            <w:vMerge w:val="restart"/>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牵头单位：区政府办、区法院、</w:t>
            </w:r>
            <w:r>
              <w:rPr>
                <w:rFonts w:hint="eastAsia" w:ascii="宋体" w:hAnsi="宋体" w:eastAsia="宋体"/>
                <w:sz w:val="24"/>
                <w:szCs w:val="24"/>
                <w:lang w:eastAsia="zh-CN"/>
              </w:rPr>
              <w:t>区工信局、</w:t>
            </w:r>
            <w:r>
              <w:rPr>
                <w:rFonts w:hint="eastAsia" w:ascii="宋体" w:hAnsi="宋体" w:eastAsia="宋体"/>
                <w:sz w:val="24"/>
                <w:szCs w:val="24"/>
              </w:rPr>
              <w:t>区信用办</w:t>
            </w:r>
          </w:p>
          <w:p>
            <w:pPr>
              <w:adjustRightInd w:val="0"/>
              <w:snapToGrid w:val="0"/>
              <w:rPr>
                <w:rFonts w:hint="eastAsia" w:ascii="宋体" w:hAnsi="宋体" w:eastAsia="宋体"/>
                <w:sz w:val="24"/>
                <w:szCs w:val="24"/>
                <w:lang w:eastAsia="zh-CN"/>
              </w:rPr>
            </w:pPr>
            <w:r>
              <w:rPr>
                <w:rFonts w:hint="eastAsia" w:ascii="宋体" w:hAnsi="宋体" w:eastAsia="宋体"/>
                <w:sz w:val="24"/>
                <w:szCs w:val="24"/>
              </w:rPr>
              <w:t>配合单位：区各有关部门</w:t>
            </w:r>
            <w:r>
              <w:rPr>
                <w:rFonts w:hint="eastAsia" w:ascii="宋体" w:hAnsi="宋体" w:eastAsia="宋体"/>
                <w:sz w:val="24"/>
                <w:szCs w:val="24"/>
                <w:lang w:eastAsia="zh-CN"/>
              </w:rPr>
              <w:t>、</w:t>
            </w:r>
            <w:r>
              <w:rPr>
                <w:rFonts w:hint="eastAsia" w:ascii="宋体" w:hAnsi="宋体" w:eastAsia="宋体"/>
                <w:sz w:val="24"/>
                <w:szCs w:val="24"/>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 w:type="dxa"/>
            <w:vMerge w:val="continue"/>
            <w:vAlign w:val="center"/>
          </w:tcPr>
          <w:p>
            <w:pPr>
              <w:adjustRightInd w:val="0"/>
              <w:snapToGrid w:val="0"/>
              <w:jc w:val="center"/>
              <w:rPr>
                <w:rFonts w:ascii="宋体" w:hAnsi="宋体" w:eastAsia="宋体"/>
                <w:b/>
                <w:sz w:val="24"/>
                <w:szCs w:val="24"/>
              </w:rPr>
            </w:pPr>
          </w:p>
        </w:tc>
        <w:tc>
          <w:tcPr>
            <w:tcW w:w="1260" w:type="dxa"/>
            <w:vMerge w:val="continue"/>
            <w:vAlign w:val="center"/>
          </w:tcPr>
          <w:p>
            <w:pPr>
              <w:adjustRightInd w:val="0"/>
              <w:snapToGrid w:val="0"/>
              <w:rPr>
                <w:rFonts w:ascii="宋体" w:hAnsi="宋体" w:eastAsia="宋体"/>
                <w:sz w:val="24"/>
                <w:szCs w:val="24"/>
              </w:rPr>
            </w:pPr>
          </w:p>
        </w:tc>
        <w:tc>
          <w:tcPr>
            <w:tcW w:w="765" w:type="dxa"/>
            <w:vAlign w:val="center"/>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rPr>
              <w:t>1</w:t>
            </w:r>
            <w:r>
              <w:rPr>
                <w:rFonts w:hint="eastAsia" w:ascii="宋体" w:hAnsi="宋体" w:eastAsia="宋体"/>
                <w:b/>
                <w:sz w:val="24"/>
                <w:szCs w:val="24"/>
                <w:lang w:val="en-US" w:eastAsia="zh-CN"/>
              </w:rPr>
              <w:t>5</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政府部门清欠情况</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rPr>
              <w:t>政府部门和国有企业清欠情况，</w:t>
            </w:r>
            <w:r>
              <w:rPr>
                <w:rFonts w:hint="eastAsia" w:ascii="宋体" w:hAnsi="宋体" w:eastAsia="宋体"/>
                <w:sz w:val="24"/>
                <w:szCs w:val="24"/>
                <w:lang w:eastAsia="zh-CN"/>
              </w:rPr>
              <w:t>做好政府部门和国有企业清欠工作</w:t>
            </w:r>
          </w:p>
        </w:tc>
        <w:tc>
          <w:tcPr>
            <w:tcW w:w="2332" w:type="dxa"/>
            <w:vMerge w:val="continue"/>
            <w:vAlign w:val="center"/>
          </w:tcPr>
          <w:p>
            <w:pPr>
              <w:adjustRightInd w:val="0"/>
              <w:snapToGrid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42" w:type="dxa"/>
            <w:vMerge w:val="continue"/>
            <w:vAlign w:val="center"/>
          </w:tcPr>
          <w:p>
            <w:pPr>
              <w:adjustRightInd w:val="0"/>
              <w:snapToGrid w:val="0"/>
              <w:jc w:val="center"/>
              <w:rPr>
                <w:rFonts w:ascii="宋体" w:hAnsi="宋体" w:eastAsia="宋体"/>
                <w:b/>
                <w:sz w:val="24"/>
                <w:szCs w:val="24"/>
              </w:rPr>
            </w:pPr>
          </w:p>
        </w:tc>
        <w:tc>
          <w:tcPr>
            <w:tcW w:w="1260" w:type="dxa"/>
            <w:vMerge w:val="continue"/>
            <w:vAlign w:val="center"/>
          </w:tcPr>
          <w:p>
            <w:pPr>
              <w:adjustRightInd w:val="0"/>
              <w:snapToGrid w:val="0"/>
              <w:rPr>
                <w:rFonts w:ascii="宋体" w:hAnsi="宋体" w:eastAsia="宋体"/>
                <w:sz w:val="24"/>
                <w:szCs w:val="24"/>
              </w:rPr>
            </w:pPr>
          </w:p>
        </w:tc>
        <w:tc>
          <w:tcPr>
            <w:tcW w:w="765" w:type="dxa"/>
            <w:vAlign w:val="center"/>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rPr>
              <w:t>1</w:t>
            </w:r>
            <w:r>
              <w:rPr>
                <w:rFonts w:hint="eastAsia" w:ascii="宋体" w:hAnsi="宋体" w:eastAsia="宋体"/>
                <w:b/>
                <w:sz w:val="24"/>
                <w:szCs w:val="24"/>
                <w:lang w:val="en-US" w:eastAsia="zh-CN"/>
              </w:rPr>
              <w:t>6</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城市信用监测排名</w:t>
            </w:r>
          </w:p>
        </w:tc>
        <w:tc>
          <w:tcPr>
            <w:tcW w:w="8070" w:type="dxa"/>
            <w:vAlign w:val="center"/>
          </w:tcPr>
          <w:p>
            <w:pPr>
              <w:adjustRightInd w:val="0"/>
              <w:snapToGrid w:val="0"/>
              <w:rPr>
                <w:rFonts w:hint="eastAsia" w:ascii="宋体" w:hAnsi="宋体" w:eastAsia="宋体"/>
                <w:sz w:val="24"/>
                <w:szCs w:val="24"/>
                <w:lang w:eastAsia="zh-CN"/>
              </w:rPr>
            </w:pPr>
            <w:r>
              <w:rPr>
                <w:rFonts w:hint="eastAsia" w:ascii="宋体" w:hAnsi="宋体" w:eastAsia="宋体"/>
                <w:sz w:val="24"/>
                <w:szCs w:val="24"/>
                <w:lang w:eastAsia="zh-CN"/>
              </w:rPr>
              <w:t>各单位做好社会信用体系建设和政务诚信建设，力争县区排名计分靠前</w:t>
            </w:r>
          </w:p>
        </w:tc>
        <w:tc>
          <w:tcPr>
            <w:tcW w:w="2332" w:type="dxa"/>
            <w:vMerge w:val="continue"/>
            <w:vAlign w:val="center"/>
          </w:tcPr>
          <w:p>
            <w:pPr>
              <w:adjustRightInd w:val="0"/>
              <w:snapToGrid w:val="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2" w:type="dxa"/>
            <w:vMerge w:val="restart"/>
            <w:vAlign w:val="center"/>
          </w:tcPr>
          <w:p>
            <w:pPr>
              <w:adjustRightInd w:val="0"/>
              <w:snapToGrid w:val="0"/>
              <w:jc w:val="center"/>
              <w:rPr>
                <w:rFonts w:ascii="宋体" w:hAnsi="宋体" w:eastAsia="宋体"/>
                <w:b/>
                <w:sz w:val="24"/>
                <w:szCs w:val="24"/>
              </w:rPr>
            </w:pPr>
            <w:r>
              <w:rPr>
                <w:rFonts w:hint="eastAsia" w:ascii="宋体" w:hAnsi="宋体" w:eastAsia="宋体"/>
                <w:b/>
                <w:sz w:val="24"/>
                <w:szCs w:val="24"/>
              </w:rPr>
              <w:t>五</w:t>
            </w:r>
          </w:p>
        </w:tc>
        <w:tc>
          <w:tcPr>
            <w:tcW w:w="1260" w:type="dxa"/>
            <w:vMerge w:val="restart"/>
            <w:vAlign w:val="center"/>
          </w:tcPr>
          <w:p>
            <w:pPr>
              <w:adjustRightInd w:val="0"/>
              <w:snapToGrid w:val="0"/>
              <w:rPr>
                <w:rFonts w:ascii="宋体" w:hAnsi="宋体" w:eastAsia="宋体"/>
                <w:sz w:val="24"/>
                <w:szCs w:val="24"/>
              </w:rPr>
            </w:pPr>
            <w:r>
              <w:rPr>
                <w:rFonts w:hint="eastAsia" w:ascii="宋体" w:hAnsi="宋体" w:eastAsia="宋体"/>
                <w:sz w:val="24"/>
                <w:szCs w:val="24"/>
              </w:rPr>
              <w:t>政务诚信教育培训和宣传</w:t>
            </w:r>
          </w:p>
        </w:tc>
        <w:tc>
          <w:tcPr>
            <w:tcW w:w="765" w:type="dxa"/>
            <w:vAlign w:val="center"/>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rPr>
              <w:t>1</w:t>
            </w:r>
            <w:r>
              <w:rPr>
                <w:rFonts w:hint="eastAsia" w:ascii="宋体" w:hAnsi="宋体" w:eastAsia="宋体"/>
                <w:b/>
                <w:sz w:val="24"/>
                <w:szCs w:val="24"/>
                <w:lang w:val="en-US" w:eastAsia="zh-CN"/>
              </w:rPr>
              <w:t>7</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公务员教育和培训</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rPr>
              <w:t>编制并发放公务员诚信手册，</w:t>
            </w:r>
            <w:r>
              <w:rPr>
                <w:rFonts w:hint="eastAsia" w:ascii="宋体" w:hAnsi="宋体" w:eastAsia="宋体"/>
                <w:sz w:val="24"/>
                <w:szCs w:val="24"/>
                <w:lang w:eastAsia="zh-CN"/>
              </w:rPr>
              <w:t>或发放省级制作的《公务员诚信知识读本》；</w:t>
            </w:r>
            <w:r>
              <w:rPr>
                <w:rFonts w:ascii="宋体" w:hAnsi="宋体" w:eastAsia="宋体"/>
                <w:sz w:val="24"/>
                <w:szCs w:val="24"/>
              </w:rPr>
              <w:br w:type="textWrapping"/>
            </w:r>
            <w:r>
              <w:rPr>
                <w:rFonts w:hint="eastAsia" w:ascii="宋体" w:hAnsi="宋体" w:eastAsia="宋体"/>
                <w:sz w:val="24"/>
                <w:szCs w:val="24"/>
              </w:rPr>
              <w:t>将诚信纳入公务员培训和领导干部进修课程；</w:t>
            </w:r>
            <w:r>
              <w:rPr>
                <w:rFonts w:ascii="宋体" w:hAnsi="宋体" w:eastAsia="宋体"/>
                <w:sz w:val="24"/>
                <w:szCs w:val="24"/>
              </w:rPr>
              <w:br w:type="textWrapping"/>
            </w:r>
            <w:r>
              <w:rPr>
                <w:rFonts w:hint="eastAsia" w:ascii="宋体" w:hAnsi="宋体" w:eastAsia="宋体"/>
                <w:sz w:val="24"/>
                <w:szCs w:val="24"/>
              </w:rPr>
              <w:t>在公务员录取、干部任用前进行信用报告审查，</w:t>
            </w:r>
            <w:r>
              <w:rPr>
                <w:rFonts w:hint="eastAsia" w:ascii="宋体" w:hAnsi="宋体" w:eastAsia="宋体"/>
                <w:sz w:val="24"/>
                <w:szCs w:val="24"/>
                <w:lang w:eastAsia="zh-CN"/>
              </w:rPr>
              <w:t>查询是否被依法列入失信联合惩戒对象</w:t>
            </w:r>
            <w:r>
              <w:rPr>
                <w:rFonts w:hint="eastAsia" w:ascii="宋体" w:hAnsi="宋体" w:eastAsia="宋体"/>
                <w:sz w:val="24"/>
                <w:szCs w:val="24"/>
              </w:rPr>
              <w:t>；</w:t>
            </w:r>
          </w:p>
        </w:tc>
        <w:tc>
          <w:tcPr>
            <w:tcW w:w="2332" w:type="dxa"/>
            <w:vAlign w:val="center"/>
          </w:tcPr>
          <w:p>
            <w:pPr>
              <w:adjustRightInd w:val="0"/>
              <w:snapToGrid w:val="0"/>
              <w:rPr>
                <w:rFonts w:hint="eastAsia" w:ascii="宋体" w:hAnsi="宋体" w:eastAsia="宋体"/>
                <w:sz w:val="24"/>
                <w:szCs w:val="24"/>
              </w:rPr>
            </w:pPr>
            <w:r>
              <w:rPr>
                <w:rFonts w:hint="eastAsia" w:ascii="宋体" w:hAnsi="宋体" w:eastAsia="宋体"/>
                <w:sz w:val="24"/>
                <w:szCs w:val="24"/>
              </w:rPr>
              <w:t>牵头单位：区组织部</w:t>
            </w:r>
          </w:p>
          <w:p>
            <w:pPr>
              <w:adjustRightInd w:val="0"/>
              <w:snapToGrid w:val="0"/>
              <w:rPr>
                <w:rFonts w:ascii="宋体" w:hAnsi="宋体" w:eastAsia="宋体"/>
                <w:sz w:val="24"/>
                <w:szCs w:val="24"/>
              </w:rPr>
            </w:pPr>
            <w:r>
              <w:rPr>
                <w:rFonts w:hint="eastAsia" w:ascii="宋体" w:hAnsi="宋体" w:eastAsia="宋体"/>
                <w:sz w:val="24"/>
                <w:szCs w:val="24"/>
              </w:rPr>
              <w:t>配合单位：区各有关部门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42" w:type="dxa"/>
            <w:vMerge w:val="continue"/>
            <w:vAlign w:val="center"/>
          </w:tcPr>
          <w:p>
            <w:pPr>
              <w:adjustRightInd w:val="0"/>
              <w:snapToGrid w:val="0"/>
              <w:jc w:val="center"/>
              <w:rPr>
                <w:rFonts w:ascii="宋体" w:hAnsi="宋体" w:eastAsia="宋体"/>
                <w:b/>
                <w:sz w:val="24"/>
                <w:szCs w:val="24"/>
              </w:rPr>
            </w:pPr>
          </w:p>
        </w:tc>
        <w:tc>
          <w:tcPr>
            <w:tcW w:w="1260" w:type="dxa"/>
            <w:vMerge w:val="continue"/>
            <w:vAlign w:val="center"/>
          </w:tcPr>
          <w:p>
            <w:pPr>
              <w:adjustRightInd w:val="0"/>
              <w:snapToGrid w:val="0"/>
              <w:rPr>
                <w:rFonts w:ascii="宋体" w:hAnsi="宋体" w:eastAsia="宋体"/>
                <w:sz w:val="24"/>
                <w:szCs w:val="24"/>
              </w:rPr>
            </w:pPr>
          </w:p>
        </w:tc>
        <w:tc>
          <w:tcPr>
            <w:tcW w:w="765" w:type="dxa"/>
            <w:vAlign w:val="center"/>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rPr>
              <w:t>1</w:t>
            </w:r>
            <w:r>
              <w:rPr>
                <w:rFonts w:hint="eastAsia" w:ascii="宋体" w:hAnsi="宋体" w:eastAsia="宋体"/>
                <w:b/>
                <w:sz w:val="24"/>
                <w:szCs w:val="24"/>
                <w:lang w:val="en-US" w:eastAsia="zh-CN"/>
              </w:rPr>
              <w:t>8</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政务诚信宣传</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rPr>
              <w:t>开展政务诚信主题相关宣传工作，形成以政务诚信为引领，社会诚信、商务诚信、司法公信全面推进的良好氛围</w:t>
            </w:r>
          </w:p>
        </w:tc>
        <w:tc>
          <w:tcPr>
            <w:tcW w:w="2332" w:type="dxa"/>
            <w:vAlign w:val="center"/>
          </w:tcPr>
          <w:p>
            <w:pPr>
              <w:adjustRightInd w:val="0"/>
              <w:snapToGrid w:val="0"/>
              <w:rPr>
                <w:rFonts w:ascii="宋体" w:hAnsi="宋体" w:eastAsia="宋体"/>
                <w:sz w:val="24"/>
                <w:szCs w:val="24"/>
              </w:rPr>
            </w:pPr>
            <w:r>
              <w:rPr>
                <w:rFonts w:hint="eastAsia" w:ascii="宋体" w:hAnsi="宋体" w:eastAsia="宋体"/>
                <w:sz w:val="24"/>
                <w:szCs w:val="24"/>
                <w:lang w:eastAsia="zh-CN"/>
              </w:rPr>
              <w:t>区</w:t>
            </w:r>
            <w:r>
              <w:rPr>
                <w:rFonts w:hint="eastAsia" w:ascii="宋体" w:hAnsi="宋体" w:eastAsia="宋体"/>
                <w:sz w:val="24"/>
                <w:szCs w:val="24"/>
              </w:rPr>
              <w:t>各有关部门</w:t>
            </w:r>
            <w:r>
              <w:rPr>
                <w:rFonts w:hint="eastAsia" w:ascii="宋体" w:hAnsi="宋体" w:eastAsia="宋体"/>
                <w:sz w:val="24"/>
                <w:szCs w:val="24"/>
                <w:lang w:eastAsia="zh-CN"/>
              </w:rPr>
              <w:t>、</w:t>
            </w:r>
            <w:r>
              <w:rPr>
                <w:rFonts w:hint="eastAsia" w:ascii="宋体" w:hAnsi="宋体" w:eastAsia="宋体"/>
                <w:sz w:val="24"/>
                <w:szCs w:val="24"/>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42" w:type="dxa"/>
            <w:vAlign w:val="center"/>
          </w:tcPr>
          <w:p>
            <w:pPr>
              <w:adjustRightInd w:val="0"/>
              <w:snapToGrid w:val="0"/>
              <w:jc w:val="center"/>
              <w:rPr>
                <w:rFonts w:ascii="宋体" w:hAnsi="宋体" w:eastAsia="宋体"/>
                <w:b/>
                <w:sz w:val="24"/>
                <w:szCs w:val="24"/>
              </w:rPr>
            </w:pPr>
            <w:r>
              <w:rPr>
                <w:rFonts w:hint="eastAsia" w:ascii="宋体" w:hAnsi="宋体" w:eastAsia="宋体"/>
                <w:b/>
                <w:sz w:val="24"/>
                <w:szCs w:val="24"/>
              </w:rPr>
              <w:t>六</w:t>
            </w:r>
          </w:p>
        </w:tc>
        <w:tc>
          <w:tcPr>
            <w:tcW w:w="1260" w:type="dxa"/>
            <w:vAlign w:val="center"/>
          </w:tcPr>
          <w:p>
            <w:pPr>
              <w:adjustRightInd w:val="0"/>
              <w:snapToGrid w:val="0"/>
              <w:rPr>
                <w:rFonts w:ascii="宋体" w:hAnsi="宋体" w:eastAsia="宋体"/>
                <w:sz w:val="24"/>
                <w:szCs w:val="24"/>
              </w:rPr>
            </w:pPr>
            <w:r>
              <w:rPr>
                <w:rFonts w:hint="eastAsia" w:ascii="宋体" w:hAnsi="宋体" w:eastAsia="宋体"/>
                <w:sz w:val="24"/>
                <w:szCs w:val="24"/>
              </w:rPr>
              <w:t>负面舆情监测</w:t>
            </w:r>
          </w:p>
        </w:tc>
        <w:tc>
          <w:tcPr>
            <w:tcW w:w="765" w:type="dxa"/>
            <w:vAlign w:val="center"/>
          </w:tcPr>
          <w:p>
            <w:pPr>
              <w:adjustRightInd w:val="0"/>
              <w:snapToGrid w:val="0"/>
              <w:jc w:val="center"/>
              <w:rPr>
                <w:rFonts w:hint="default" w:ascii="宋体" w:hAnsi="宋体" w:eastAsia="宋体"/>
                <w:b/>
                <w:sz w:val="24"/>
                <w:szCs w:val="24"/>
                <w:lang w:val="en-US" w:eastAsia="zh-CN"/>
              </w:rPr>
            </w:pPr>
            <w:r>
              <w:rPr>
                <w:rFonts w:hint="eastAsia" w:ascii="宋体" w:hAnsi="宋体" w:eastAsia="宋体"/>
                <w:b/>
                <w:sz w:val="24"/>
                <w:szCs w:val="24"/>
                <w:lang w:val="en-US" w:eastAsia="zh-CN"/>
              </w:rPr>
              <w:t>19</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政务失信负面舆情</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lang w:eastAsia="zh-CN"/>
              </w:rPr>
              <w:t>各单位做好</w:t>
            </w:r>
            <w:r>
              <w:rPr>
                <w:rFonts w:hint="eastAsia" w:ascii="宋体" w:hAnsi="宋体" w:eastAsia="宋体"/>
                <w:sz w:val="24"/>
                <w:szCs w:val="24"/>
              </w:rPr>
              <w:t>政府部门或公务员失信造成的负面舆情</w:t>
            </w:r>
            <w:r>
              <w:rPr>
                <w:rFonts w:hint="eastAsia" w:ascii="宋体" w:hAnsi="宋体" w:eastAsia="宋体"/>
                <w:sz w:val="24"/>
                <w:szCs w:val="24"/>
                <w:lang w:eastAsia="zh-CN"/>
              </w:rPr>
              <w:t>管控，不对我区造成负面影响</w:t>
            </w:r>
          </w:p>
        </w:tc>
        <w:tc>
          <w:tcPr>
            <w:tcW w:w="2332" w:type="dxa"/>
            <w:vAlign w:val="center"/>
          </w:tcPr>
          <w:p>
            <w:pPr>
              <w:adjustRightInd w:val="0"/>
              <w:snapToGrid w:val="0"/>
              <w:rPr>
                <w:rFonts w:hint="eastAsia" w:ascii="宋体" w:hAnsi="宋体" w:eastAsia="宋体"/>
                <w:sz w:val="24"/>
                <w:szCs w:val="24"/>
                <w:lang w:eastAsia="zh-CN"/>
              </w:rPr>
            </w:pPr>
            <w:r>
              <w:rPr>
                <w:rFonts w:hint="eastAsia" w:ascii="宋体" w:hAnsi="宋体" w:eastAsia="宋体"/>
                <w:sz w:val="24"/>
                <w:szCs w:val="24"/>
              </w:rPr>
              <w:t>牵头单位：区</w:t>
            </w:r>
            <w:r>
              <w:rPr>
                <w:rFonts w:hint="eastAsia" w:ascii="宋体" w:hAnsi="宋体" w:eastAsia="宋体"/>
                <w:sz w:val="24"/>
                <w:szCs w:val="24"/>
                <w:lang w:eastAsia="zh-CN"/>
              </w:rPr>
              <w:t>宣传部</w:t>
            </w:r>
          </w:p>
          <w:p>
            <w:pPr>
              <w:adjustRightInd w:val="0"/>
              <w:snapToGrid w:val="0"/>
              <w:rPr>
                <w:rFonts w:hint="eastAsia" w:ascii="宋体" w:hAnsi="宋体" w:eastAsia="宋体"/>
                <w:sz w:val="24"/>
                <w:szCs w:val="24"/>
                <w:lang w:val="en-US" w:eastAsia="zh-CN"/>
              </w:rPr>
            </w:pPr>
            <w:r>
              <w:rPr>
                <w:rFonts w:hint="eastAsia" w:ascii="宋体" w:hAnsi="宋体" w:eastAsia="宋体"/>
                <w:sz w:val="24"/>
                <w:szCs w:val="24"/>
                <w:lang w:eastAsia="zh-CN"/>
              </w:rPr>
              <w:t>配合单位：区</w:t>
            </w:r>
            <w:r>
              <w:rPr>
                <w:rFonts w:hint="eastAsia" w:ascii="宋体" w:hAnsi="宋体" w:eastAsia="宋体"/>
                <w:sz w:val="24"/>
                <w:szCs w:val="24"/>
              </w:rPr>
              <w:t>各有关部门</w:t>
            </w:r>
            <w:r>
              <w:rPr>
                <w:rFonts w:hint="eastAsia" w:ascii="宋体" w:hAnsi="宋体" w:eastAsia="宋体"/>
                <w:sz w:val="24"/>
                <w:szCs w:val="24"/>
                <w:lang w:eastAsia="zh-CN"/>
              </w:rPr>
              <w:t>、</w:t>
            </w:r>
            <w:r>
              <w:rPr>
                <w:rFonts w:hint="eastAsia" w:ascii="宋体" w:hAnsi="宋体" w:eastAsia="宋体"/>
                <w:sz w:val="24"/>
                <w:szCs w:val="24"/>
              </w:rPr>
              <w:t>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42" w:type="dxa"/>
            <w:vAlign w:val="center"/>
          </w:tcPr>
          <w:p>
            <w:pPr>
              <w:adjustRightInd w:val="0"/>
              <w:snapToGrid w:val="0"/>
              <w:jc w:val="center"/>
              <w:rPr>
                <w:rFonts w:ascii="宋体" w:hAnsi="宋体" w:eastAsia="宋体"/>
                <w:b/>
                <w:sz w:val="24"/>
                <w:szCs w:val="24"/>
              </w:rPr>
            </w:pPr>
            <w:r>
              <w:rPr>
                <w:rFonts w:hint="eastAsia" w:ascii="宋体" w:hAnsi="宋体" w:eastAsia="宋体"/>
                <w:b/>
                <w:sz w:val="24"/>
                <w:szCs w:val="24"/>
              </w:rPr>
              <w:t>七</w:t>
            </w:r>
          </w:p>
        </w:tc>
        <w:tc>
          <w:tcPr>
            <w:tcW w:w="1260" w:type="dxa"/>
            <w:vAlign w:val="center"/>
          </w:tcPr>
          <w:p>
            <w:pPr>
              <w:adjustRightInd w:val="0"/>
              <w:snapToGrid w:val="0"/>
              <w:rPr>
                <w:rFonts w:ascii="宋体" w:hAnsi="宋体" w:eastAsia="宋体"/>
                <w:sz w:val="24"/>
                <w:szCs w:val="24"/>
              </w:rPr>
            </w:pPr>
            <w:r>
              <w:rPr>
                <w:rFonts w:hint="eastAsia" w:ascii="宋体" w:hAnsi="宋体" w:eastAsia="宋体"/>
                <w:sz w:val="24"/>
                <w:szCs w:val="24"/>
              </w:rPr>
              <w:t>创新做法及案例</w:t>
            </w:r>
          </w:p>
        </w:tc>
        <w:tc>
          <w:tcPr>
            <w:tcW w:w="765" w:type="dxa"/>
            <w:vAlign w:val="center"/>
          </w:tcPr>
          <w:p>
            <w:pPr>
              <w:adjustRightInd w:val="0"/>
              <w:snapToGrid w:val="0"/>
              <w:jc w:val="center"/>
              <w:rPr>
                <w:rFonts w:hint="eastAsia" w:ascii="宋体" w:hAnsi="宋体" w:eastAsia="宋体"/>
                <w:b/>
                <w:sz w:val="24"/>
                <w:szCs w:val="24"/>
                <w:lang w:eastAsia="zh-CN"/>
              </w:rPr>
            </w:pPr>
            <w:r>
              <w:rPr>
                <w:rFonts w:hint="eastAsia" w:ascii="宋体" w:hAnsi="宋体" w:eastAsia="宋体"/>
                <w:b/>
                <w:sz w:val="24"/>
                <w:szCs w:val="24"/>
              </w:rPr>
              <w:t>2</w:t>
            </w:r>
            <w:r>
              <w:rPr>
                <w:rFonts w:hint="eastAsia" w:ascii="宋体" w:hAnsi="宋体" w:eastAsia="宋体"/>
                <w:b/>
                <w:sz w:val="24"/>
                <w:szCs w:val="24"/>
                <w:lang w:val="en-US" w:eastAsia="zh-CN"/>
              </w:rPr>
              <w:t>0</w:t>
            </w:r>
          </w:p>
        </w:tc>
        <w:tc>
          <w:tcPr>
            <w:tcW w:w="1725" w:type="dxa"/>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创新做法及案例</w:t>
            </w:r>
          </w:p>
        </w:tc>
        <w:tc>
          <w:tcPr>
            <w:tcW w:w="8070" w:type="dxa"/>
            <w:vAlign w:val="center"/>
          </w:tcPr>
          <w:p>
            <w:pPr>
              <w:adjustRightInd w:val="0"/>
              <w:snapToGrid w:val="0"/>
              <w:rPr>
                <w:rFonts w:ascii="宋体" w:hAnsi="宋体" w:eastAsia="宋体"/>
                <w:sz w:val="24"/>
                <w:szCs w:val="24"/>
              </w:rPr>
            </w:pPr>
            <w:r>
              <w:rPr>
                <w:rFonts w:hint="eastAsia" w:ascii="宋体" w:hAnsi="宋体" w:eastAsia="宋体"/>
                <w:sz w:val="24"/>
                <w:szCs w:val="24"/>
              </w:rPr>
              <w:t>在政务诚信建设中创新探索，成效明显，建立有效的政务诚信监督考评机制的，在重点领域政务诚信建设形成可推广复制经验</w:t>
            </w:r>
          </w:p>
        </w:tc>
        <w:tc>
          <w:tcPr>
            <w:tcW w:w="2332" w:type="dxa"/>
            <w:vAlign w:val="center"/>
          </w:tcPr>
          <w:p>
            <w:pPr>
              <w:adjustRightInd w:val="0"/>
              <w:snapToGrid w:val="0"/>
              <w:rPr>
                <w:rFonts w:hint="eastAsia" w:ascii="宋体" w:hAnsi="宋体" w:eastAsia="宋体"/>
                <w:sz w:val="24"/>
                <w:szCs w:val="24"/>
                <w:lang w:val="en-US" w:eastAsia="zh-CN"/>
              </w:rPr>
            </w:pPr>
            <w:r>
              <w:rPr>
                <w:rFonts w:hint="eastAsia" w:ascii="宋体" w:hAnsi="宋体" w:eastAsia="宋体"/>
                <w:sz w:val="24"/>
                <w:szCs w:val="24"/>
                <w:lang w:eastAsia="zh-CN"/>
              </w:rPr>
              <w:t>区</w:t>
            </w:r>
            <w:r>
              <w:rPr>
                <w:rFonts w:hint="eastAsia" w:ascii="宋体" w:hAnsi="宋体" w:eastAsia="宋体"/>
                <w:sz w:val="24"/>
                <w:szCs w:val="24"/>
              </w:rPr>
              <w:t>各有关部门</w:t>
            </w:r>
            <w:r>
              <w:rPr>
                <w:rFonts w:hint="eastAsia" w:ascii="宋体" w:hAnsi="宋体" w:eastAsia="宋体"/>
                <w:sz w:val="24"/>
                <w:szCs w:val="24"/>
                <w:lang w:eastAsia="zh-CN"/>
              </w:rPr>
              <w:t>、</w:t>
            </w:r>
            <w:r>
              <w:rPr>
                <w:rFonts w:hint="eastAsia" w:ascii="宋体" w:hAnsi="宋体" w:eastAsia="宋体"/>
                <w:sz w:val="24"/>
                <w:szCs w:val="24"/>
              </w:rPr>
              <w:t>各镇（街道）</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方正仿宋_GBK" w:hAnsi="仿宋" w:eastAsia="方正仿宋_GBK" w:cs="仿宋"/>
          <w:sz w:val="32"/>
          <w:szCs w:val="32"/>
          <w:lang w:val="en-US" w:eastAsia="zh-CN"/>
        </w:rPr>
      </w:pPr>
    </w:p>
    <w:sectPr>
      <w:pgSz w:w="16838" w:h="11906" w:orient="landscape"/>
      <w:pgMar w:top="1701" w:right="1440" w:bottom="1701" w:left="144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5368A"/>
    <w:rsid w:val="113D64E1"/>
    <w:rsid w:val="1EFA7919"/>
    <w:rsid w:val="23FC5EB6"/>
    <w:rsid w:val="289A7D10"/>
    <w:rsid w:val="2CEC0DD1"/>
    <w:rsid w:val="35884715"/>
    <w:rsid w:val="3A35368A"/>
    <w:rsid w:val="3E6B0D14"/>
    <w:rsid w:val="46CD6D83"/>
    <w:rsid w:val="536C7513"/>
    <w:rsid w:val="6CC12F1B"/>
    <w:rsid w:val="71A047B8"/>
    <w:rsid w:val="7ACD2D6E"/>
    <w:rsid w:val="7AE5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uiPriority w:val="0"/>
    <w:rPr>
      <w:color w:val="0000FF"/>
      <w:u w:val="single"/>
    </w:rPr>
  </w:style>
  <w:style w:type="paragraph" w:customStyle="1" w:styleId="7">
    <w:name w:val="密级"/>
    <w:basedOn w:val="1"/>
    <w:uiPriority w:val="0"/>
    <w:pPr>
      <w:adjustRightInd w:val="0"/>
      <w:snapToGrid/>
      <w:spacing w:line="425" w:lineRule="atLeast"/>
      <w:ind w:firstLine="0"/>
      <w:jc w:val="right"/>
    </w:pPr>
    <w:rPr>
      <w:rFonts w:ascii="黑体" w:eastAsia="黑体"/>
      <w:sz w:val="30"/>
    </w:rPr>
  </w:style>
  <w:style w:type="paragraph" w:customStyle="1" w:styleId="8">
    <w:name w:val="文头"/>
    <w:basedOn w:val="1"/>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9">
    <w:name w:val="红线"/>
    <w:basedOn w:val="2"/>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2020-10-09T01:03:00Z</dcterms:created>
  <dc:creator>小星星</dc:creator>
  <cp:lastModifiedBy>小星星</cp:lastModifiedBy>
  <cp:lastPrinted>2020-10-12T01:05:00Z</cp:lastPrinted>
  <dcterms:modified xsi:type="dcterms:W3CDTF">2020-10-20T01:20:30Z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